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6" w:lineRule="auto"/>
        <w:jc w:val="center"/>
        <w:rPr>
          <w:b/>
          <w:bCs/>
          <w:sz w:val="40"/>
          <w:szCs w:val="22"/>
        </w:rPr>
      </w:pPr>
      <w:r>
        <w:rPr>
          <w:b/>
          <w:bCs/>
          <w:sz w:val="40"/>
          <w:szCs w:val="22"/>
        </w:rPr>
        <w:t>青岛万华华征家居有限公司板式家具生产项目</w:t>
      </w:r>
    </w:p>
    <w:p>
      <w:pPr>
        <w:spacing w:line="276" w:lineRule="auto"/>
        <w:jc w:val="center"/>
        <w:rPr>
          <w:b/>
          <w:bCs/>
          <w:sz w:val="40"/>
          <w:szCs w:val="22"/>
        </w:rPr>
      </w:pPr>
      <w:r>
        <w:rPr>
          <w:b/>
          <w:bCs/>
          <w:sz w:val="40"/>
          <w:szCs w:val="22"/>
        </w:rPr>
        <w:t>竣工环境保护验收意见</w:t>
      </w:r>
    </w:p>
    <w:p>
      <w:pPr>
        <w:spacing w:line="460" w:lineRule="exact"/>
        <w:ind w:firstLine="640" w:firstLineChars="200"/>
        <w:rPr>
          <w:sz w:val="32"/>
          <w:szCs w:val="32"/>
        </w:rPr>
      </w:pPr>
    </w:p>
    <w:p>
      <w:pPr>
        <w:spacing w:line="460" w:lineRule="exact"/>
        <w:ind w:firstLine="480" w:firstLineChars="200"/>
        <w:rPr>
          <w:sz w:val="24"/>
          <w:szCs w:val="24"/>
        </w:rPr>
      </w:pPr>
      <w:r>
        <w:rPr>
          <w:sz w:val="24"/>
          <w:szCs w:val="24"/>
        </w:rPr>
        <w:t>2020年</w:t>
      </w:r>
      <w:r>
        <w:rPr>
          <w:rFonts w:hint="eastAsia"/>
          <w:sz w:val="24"/>
          <w:szCs w:val="24"/>
        </w:rPr>
        <w:t>12</w:t>
      </w:r>
      <w:r>
        <w:rPr>
          <w:sz w:val="24"/>
          <w:szCs w:val="24"/>
        </w:rPr>
        <w:t>月</w:t>
      </w:r>
      <w:r>
        <w:rPr>
          <w:rFonts w:hint="eastAsia"/>
          <w:sz w:val="24"/>
          <w:szCs w:val="24"/>
          <w:highlight w:val="none"/>
          <w:lang w:val="en-US" w:eastAsia="zh-CN"/>
        </w:rPr>
        <w:t>14</w:t>
      </w:r>
      <w:r>
        <w:rPr>
          <w:sz w:val="24"/>
          <w:szCs w:val="24"/>
        </w:rPr>
        <w:t>日，青岛万华华征家居有限公司根据“板式家具生产项目”竣工环境保护验收监测报告，并对照《建设项目竣工环境保护验收暂行办法》，严格依照国家有关法律法规、建设项目竣工环境保护验收技术规范/指南、本项目环境影响报告书和审批部门审批决定等要求，对本项目进行验收，提出意见如下：</w:t>
      </w:r>
    </w:p>
    <w:p>
      <w:pPr>
        <w:spacing w:line="460" w:lineRule="exact"/>
        <w:ind w:firstLine="482" w:firstLineChars="200"/>
        <w:rPr>
          <w:b/>
          <w:sz w:val="24"/>
          <w:szCs w:val="24"/>
        </w:rPr>
      </w:pPr>
      <w:r>
        <w:rPr>
          <w:b/>
          <w:sz w:val="24"/>
          <w:szCs w:val="24"/>
        </w:rPr>
        <w:t>一、项目基本情况</w:t>
      </w:r>
    </w:p>
    <w:p>
      <w:pPr>
        <w:spacing w:line="460" w:lineRule="exact"/>
        <w:ind w:firstLine="480" w:firstLineChars="200"/>
        <w:rPr>
          <w:sz w:val="24"/>
          <w:szCs w:val="24"/>
        </w:rPr>
      </w:pPr>
      <w:r>
        <w:rPr>
          <w:sz w:val="24"/>
          <w:szCs w:val="24"/>
        </w:rPr>
        <w:t>（一）建设地点、规模、主要建设内容</w:t>
      </w:r>
    </w:p>
    <w:p>
      <w:pPr>
        <w:spacing w:line="460" w:lineRule="exact"/>
        <w:ind w:firstLine="480" w:firstLineChars="200"/>
        <w:rPr>
          <w:sz w:val="24"/>
          <w:szCs w:val="24"/>
        </w:rPr>
      </w:pPr>
      <w:r>
        <w:rPr>
          <w:sz w:val="24"/>
          <w:szCs w:val="24"/>
        </w:rPr>
        <w:t>青岛万华华征家居有限公司板式家具生产项目位于</w:t>
      </w:r>
      <w:r>
        <w:rPr>
          <w:rFonts w:hint="eastAsia"/>
          <w:sz w:val="24"/>
          <w:szCs w:val="24"/>
        </w:rPr>
        <w:t>平度市经济技术开发区广州南路6号，主要从事板式家具生产。</w:t>
      </w:r>
    </w:p>
    <w:p>
      <w:pPr>
        <w:spacing w:line="460" w:lineRule="exact"/>
        <w:ind w:firstLine="480" w:firstLineChars="200"/>
        <w:rPr>
          <w:sz w:val="24"/>
          <w:szCs w:val="24"/>
        </w:rPr>
      </w:pPr>
      <w:r>
        <w:rPr>
          <w:rFonts w:hint="eastAsia"/>
          <w:sz w:val="24"/>
          <w:szCs w:val="24"/>
        </w:rPr>
        <w:t>项目</w:t>
      </w:r>
      <w:r>
        <w:rPr>
          <w:sz w:val="24"/>
          <w:szCs w:val="24"/>
        </w:rPr>
        <w:t>投资</w:t>
      </w:r>
      <w:r>
        <w:rPr>
          <w:rFonts w:hint="eastAsia"/>
          <w:sz w:val="24"/>
          <w:szCs w:val="24"/>
        </w:rPr>
        <w:t>200</w:t>
      </w:r>
      <w:r>
        <w:rPr>
          <w:sz w:val="24"/>
          <w:szCs w:val="24"/>
        </w:rPr>
        <w:t>万元</w:t>
      </w:r>
      <w:r>
        <w:rPr>
          <w:rFonts w:hint="eastAsia"/>
          <w:sz w:val="24"/>
          <w:szCs w:val="24"/>
        </w:rPr>
        <w:t>租赁青岛建庆精密模具有限公司5463.09m</w:t>
      </w:r>
      <w:r>
        <w:rPr>
          <w:rFonts w:hint="eastAsia"/>
          <w:sz w:val="24"/>
          <w:szCs w:val="24"/>
          <w:vertAlign w:val="superscript"/>
        </w:rPr>
        <w:t>2</w:t>
      </w:r>
      <w:r>
        <w:rPr>
          <w:rFonts w:hint="eastAsia"/>
          <w:sz w:val="24"/>
          <w:szCs w:val="24"/>
        </w:rPr>
        <w:t>闲置厂房建设板式家具生产项目，建筑面积5463.09m</w:t>
      </w:r>
      <w:r>
        <w:rPr>
          <w:rFonts w:hint="eastAsia"/>
          <w:sz w:val="24"/>
          <w:szCs w:val="24"/>
          <w:vertAlign w:val="superscript"/>
        </w:rPr>
        <w:t>2</w:t>
      </w:r>
      <w:r>
        <w:rPr>
          <w:rFonts w:hint="eastAsia"/>
          <w:sz w:val="24"/>
          <w:szCs w:val="24"/>
        </w:rPr>
        <w:t>。主要为一个大的生产车间，购置推台锯、开料机等生产设备共计43台/套，年生产板式家具 20万m</w:t>
      </w:r>
      <w:r>
        <w:rPr>
          <w:rFonts w:hint="eastAsia"/>
          <w:sz w:val="24"/>
          <w:szCs w:val="24"/>
          <w:vertAlign w:val="superscript"/>
        </w:rPr>
        <w:t>2</w:t>
      </w:r>
      <w:r>
        <w:rPr>
          <w:rFonts w:hint="eastAsia"/>
          <w:sz w:val="24"/>
          <w:szCs w:val="24"/>
        </w:rPr>
        <w:t>。</w:t>
      </w:r>
    </w:p>
    <w:p>
      <w:pPr>
        <w:spacing w:line="460" w:lineRule="exact"/>
        <w:ind w:firstLine="480" w:firstLineChars="200"/>
        <w:rPr>
          <w:sz w:val="24"/>
          <w:szCs w:val="24"/>
        </w:rPr>
      </w:pPr>
      <w:r>
        <w:rPr>
          <w:rFonts w:hint="eastAsia"/>
          <w:sz w:val="24"/>
          <w:szCs w:val="24"/>
        </w:rPr>
        <w:t>项目劳动定员20人，实行一班制生产，8小时，年工作300天。</w:t>
      </w:r>
    </w:p>
    <w:p>
      <w:pPr>
        <w:spacing w:line="460" w:lineRule="exact"/>
        <w:ind w:firstLine="480" w:firstLineChars="200"/>
        <w:rPr>
          <w:sz w:val="24"/>
          <w:szCs w:val="24"/>
        </w:rPr>
      </w:pPr>
      <w:r>
        <w:rPr>
          <w:sz w:val="24"/>
          <w:szCs w:val="24"/>
        </w:rPr>
        <w:t>（二）建设过程及环保审批情况</w:t>
      </w:r>
    </w:p>
    <w:p>
      <w:pPr>
        <w:spacing w:line="460" w:lineRule="exact"/>
        <w:ind w:firstLine="480" w:firstLineChars="200"/>
        <w:rPr>
          <w:sz w:val="24"/>
          <w:szCs w:val="24"/>
        </w:rPr>
      </w:pPr>
      <w:r>
        <w:rPr>
          <w:sz w:val="24"/>
          <w:szCs w:val="24"/>
        </w:rPr>
        <w:t>20</w:t>
      </w:r>
      <w:r>
        <w:rPr>
          <w:rFonts w:hint="eastAsia"/>
          <w:sz w:val="24"/>
          <w:szCs w:val="24"/>
        </w:rPr>
        <w:t>20</w:t>
      </w:r>
      <w:r>
        <w:rPr>
          <w:sz w:val="24"/>
          <w:szCs w:val="24"/>
        </w:rPr>
        <w:t>年</w:t>
      </w:r>
      <w:r>
        <w:rPr>
          <w:rFonts w:hint="eastAsia"/>
          <w:sz w:val="24"/>
          <w:szCs w:val="24"/>
        </w:rPr>
        <w:t>6</w:t>
      </w:r>
      <w:r>
        <w:rPr>
          <w:sz w:val="24"/>
          <w:szCs w:val="24"/>
        </w:rPr>
        <w:t>月，受</w:t>
      </w:r>
      <w:r>
        <w:rPr>
          <w:rFonts w:hint="eastAsia"/>
          <w:sz w:val="24"/>
          <w:szCs w:val="24"/>
        </w:rPr>
        <w:t>我企业</w:t>
      </w:r>
      <w:r>
        <w:rPr>
          <w:sz w:val="24"/>
          <w:szCs w:val="24"/>
        </w:rPr>
        <w:t>委托，山东森源环保科技有限公司对项目进行了环境影响评价，编制完成了《青岛万华华征家居有限公司板式家具生产项目环境影响报告表》。</w:t>
      </w:r>
    </w:p>
    <w:p>
      <w:pPr>
        <w:spacing w:line="460" w:lineRule="exact"/>
        <w:ind w:firstLine="480" w:firstLineChars="200"/>
        <w:rPr>
          <w:sz w:val="24"/>
          <w:szCs w:val="24"/>
        </w:rPr>
      </w:pPr>
      <w:r>
        <w:rPr>
          <w:sz w:val="24"/>
          <w:szCs w:val="24"/>
        </w:rPr>
        <w:t>20</w:t>
      </w:r>
      <w:r>
        <w:rPr>
          <w:rFonts w:hint="eastAsia"/>
          <w:sz w:val="24"/>
          <w:szCs w:val="24"/>
        </w:rPr>
        <w:t>20</w:t>
      </w:r>
      <w:r>
        <w:rPr>
          <w:sz w:val="24"/>
          <w:szCs w:val="24"/>
        </w:rPr>
        <w:t>年</w:t>
      </w:r>
      <w:r>
        <w:rPr>
          <w:rFonts w:hint="eastAsia"/>
          <w:sz w:val="24"/>
          <w:szCs w:val="24"/>
        </w:rPr>
        <w:t>7</w:t>
      </w:r>
      <w:r>
        <w:rPr>
          <w:sz w:val="24"/>
          <w:szCs w:val="24"/>
        </w:rPr>
        <w:t>月</w:t>
      </w:r>
      <w:r>
        <w:rPr>
          <w:rFonts w:hint="eastAsia"/>
          <w:sz w:val="24"/>
          <w:szCs w:val="24"/>
        </w:rPr>
        <w:t>23</w:t>
      </w:r>
      <w:r>
        <w:rPr>
          <w:sz w:val="24"/>
          <w:szCs w:val="24"/>
        </w:rPr>
        <w:t>日，青岛市生态环境局平度分局以平环审﹝2020﹞148号文件对项目环境影响报告表进行了批复。</w:t>
      </w:r>
    </w:p>
    <w:p>
      <w:pPr>
        <w:spacing w:line="460" w:lineRule="exact"/>
        <w:ind w:firstLine="480" w:firstLineChars="200"/>
        <w:rPr>
          <w:sz w:val="24"/>
          <w:szCs w:val="24"/>
        </w:rPr>
      </w:pPr>
      <w:r>
        <w:rPr>
          <w:sz w:val="24"/>
          <w:szCs w:val="24"/>
        </w:rPr>
        <w:t>项目于20</w:t>
      </w:r>
      <w:r>
        <w:rPr>
          <w:rFonts w:hint="eastAsia"/>
          <w:sz w:val="24"/>
          <w:szCs w:val="24"/>
        </w:rPr>
        <w:t>20</w:t>
      </w:r>
      <w:r>
        <w:rPr>
          <w:sz w:val="24"/>
          <w:szCs w:val="24"/>
        </w:rPr>
        <w:t>年</w:t>
      </w:r>
      <w:r>
        <w:rPr>
          <w:rFonts w:hint="eastAsia"/>
          <w:sz w:val="24"/>
          <w:szCs w:val="24"/>
        </w:rPr>
        <w:t>7</w:t>
      </w:r>
      <w:r>
        <w:rPr>
          <w:sz w:val="24"/>
          <w:szCs w:val="24"/>
        </w:rPr>
        <w:t>月开工建设，</w:t>
      </w:r>
      <w:r>
        <w:rPr>
          <w:rFonts w:hint="eastAsia"/>
          <w:sz w:val="24"/>
          <w:szCs w:val="24"/>
        </w:rPr>
        <w:t>9</w:t>
      </w:r>
      <w:r>
        <w:rPr>
          <w:sz w:val="24"/>
          <w:szCs w:val="24"/>
        </w:rPr>
        <w:t>月调试完成。</w:t>
      </w:r>
    </w:p>
    <w:p>
      <w:pPr>
        <w:spacing w:line="460" w:lineRule="exact"/>
        <w:ind w:firstLine="480" w:firstLineChars="200"/>
        <w:rPr>
          <w:sz w:val="24"/>
          <w:szCs w:val="24"/>
        </w:rPr>
      </w:pPr>
      <w:r>
        <w:rPr>
          <w:sz w:val="24"/>
          <w:szCs w:val="24"/>
        </w:rPr>
        <w:t>（三）投资情况</w:t>
      </w:r>
    </w:p>
    <w:p>
      <w:pPr>
        <w:spacing w:line="460" w:lineRule="exact"/>
        <w:ind w:firstLine="480" w:firstLineChars="200"/>
        <w:rPr>
          <w:sz w:val="24"/>
          <w:szCs w:val="24"/>
        </w:rPr>
      </w:pPr>
      <w:r>
        <w:rPr>
          <w:rFonts w:hint="eastAsia"/>
          <w:sz w:val="24"/>
          <w:szCs w:val="24"/>
        </w:rPr>
        <w:t>“</w:t>
      </w:r>
      <w:r>
        <w:rPr>
          <w:sz w:val="24"/>
          <w:szCs w:val="24"/>
        </w:rPr>
        <w:t>板式家具生产项目</w:t>
      </w:r>
      <w:r>
        <w:rPr>
          <w:rFonts w:hint="eastAsia"/>
          <w:sz w:val="24"/>
          <w:szCs w:val="24"/>
        </w:rPr>
        <w:t>”设计</w:t>
      </w:r>
      <w:r>
        <w:rPr>
          <w:sz w:val="24"/>
          <w:szCs w:val="24"/>
        </w:rPr>
        <w:t>项目总投资</w:t>
      </w:r>
      <w:r>
        <w:rPr>
          <w:rFonts w:hint="eastAsia"/>
          <w:sz w:val="24"/>
          <w:szCs w:val="24"/>
        </w:rPr>
        <w:t>200万元，其中</w:t>
      </w:r>
      <w:r>
        <w:rPr>
          <w:sz w:val="24"/>
          <w:szCs w:val="24"/>
        </w:rPr>
        <w:t>环保投资</w:t>
      </w:r>
      <w:r>
        <w:rPr>
          <w:rFonts w:hint="eastAsia"/>
          <w:sz w:val="24"/>
          <w:szCs w:val="24"/>
        </w:rPr>
        <w:t>10</w:t>
      </w:r>
      <w:r>
        <w:rPr>
          <w:sz w:val="24"/>
          <w:szCs w:val="24"/>
        </w:rPr>
        <w:t>万元，环保投资占项目总投资的</w:t>
      </w:r>
      <w:r>
        <w:rPr>
          <w:rFonts w:hint="eastAsia"/>
          <w:sz w:val="24"/>
          <w:szCs w:val="24"/>
        </w:rPr>
        <w:t>5</w:t>
      </w:r>
      <w:r>
        <w:rPr>
          <w:sz w:val="24"/>
          <w:szCs w:val="24"/>
        </w:rPr>
        <w:t>%。</w:t>
      </w:r>
      <w:r>
        <w:rPr>
          <w:rFonts w:hint="eastAsia"/>
          <w:sz w:val="24"/>
          <w:szCs w:val="24"/>
        </w:rPr>
        <w:t>工程实际</w:t>
      </w:r>
      <w:r>
        <w:rPr>
          <w:sz w:val="24"/>
          <w:szCs w:val="24"/>
        </w:rPr>
        <w:t>总投资</w:t>
      </w:r>
      <w:r>
        <w:rPr>
          <w:rFonts w:hint="eastAsia"/>
          <w:sz w:val="24"/>
          <w:szCs w:val="24"/>
        </w:rPr>
        <w:t>200万元，其中</w:t>
      </w:r>
      <w:r>
        <w:rPr>
          <w:sz w:val="24"/>
          <w:szCs w:val="24"/>
        </w:rPr>
        <w:t>环保投资</w:t>
      </w:r>
      <w:r>
        <w:rPr>
          <w:rFonts w:hint="eastAsia"/>
          <w:sz w:val="24"/>
          <w:szCs w:val="24"/>
        </w:rPr>
        <w:t>10</w:t>
      </w:r>
      <w:r>
        <w:rPr>
          <w:sz w:val="24"/>
          <w:szCs w:val="24"/>
        </w:rPr>
        <w:t>万元，环保投资占项目总投资的</w:t>
      </w:r>
      <w:r>
        <w:rPr>
          <w:rFonts w:hint="eastAsia"/>
          <w:sz w:val="24"/>
          <w:szCs w:val="24"/>
        </w:rPr>
        <w:t>5</w:t>
      </w:r>
      <w:r>
        <w:rPr>
          <w:sz w:val="24"/>
          <w:szCs w:val="24"/>
        </w:rPr>
        <w:t>%</w:t>
      </w:r>
      <w:r>
        <w:rPr>
          <w:rFonts w:hint="eastAsia"/>
          <w:sz w:val="24"/>
          <w:szCs w:val="24"/>
        </w:rPr>
        <w:t>。</w:t>
      </w:r>
    </w:p>
    <w:p>
      <w:pPr>
        <w:spacing w:line="460" w:lineRule="exact"/>
        <w:ind w:firstLine="480" w:firstLineChars="200"/>
        <w:rPr>
          <w:sz w:val="24"/>
          <w:szCs w:val="24"/>
        </w:rPr>
      </w:pPr>
      <w:r>
        <w:rPr>
          <w:sz w:val="24"/>
          <w:szCs w:val="24"/>
        </w:rPr>
        <w:t>（四）验收范围</w:t>
      </w:r>
    </w:p>
    <w:p>
      <w:pPr>
        <w:spacing w:line="460" w:lineRule="exact"/>
        <w:ind w:firstLine="480" w:firstLineChars="200"/>
        <w:rPr>
          <w:sz w:val="24"/>
          <w:szCs w:val="24"/>
        </w:rPr>
      </w:pPr>
      <w:r>
        <w:rPr>
          <w:sz w:val="24"/>
          <w:szCs w:val="24"/>
        </w:rPr>
        <w:t>本次验收</w:t>
      </w:r>
      <w:r>
        <w:rPr>
          <w:rFonts w:hint="eastAsia"/>
          <w:sz w:val="24"/>
          <w:szCs w:val="24"/>
        </w:rPr>
        <w:t>范围为</w:t>
      </w:r>
      <w:r>
        <w:rPr>
          <w:sz w:val="24"/>
          <w:szCs w:val="24"/>
        </w:rPr>
        <w:t>青岛万华华征家居有限公司板式家具生产项目</w:t>
      </w:r>
      <w:r>
        <w:rPr>
          <w:rFonts w:hint="eastAsia"/>
          <w:sz w:val="24"/>
          <w:szCs w:val="24"/>
        </w:rPr>
        <w:t>工程</w:t>
      </w:r>
      <w:r>
        <w:rPr>
          <w:sz w:val="24"/>
          <w:szCs w:val="24"/>
        </w:rPr>
        <w:t>内容。</w:t>
      </w:r>
    </w:p>
    <w:p>
      <w:pPr>
        <w:spacing w:line="460" w:lineRule="exact"/>
        <w:ind w:firstLine="482" w:firstLineChars="200"/>
        <w:rPr>
          <w:b/>
          <w:sz w:val="24"/>
          <w:szCs w:val="24"/>
        </w:rPr>
      </w:pPr>
      <w:r>
        <w:rPr>
          <w:b/>
          <w:sz w:val="24"/>
          <w:szCs w:val="24"/>
        </w:rPr>
        <w:t>二、项目变动情况</w:t>
      </w:r>
    </w:p>
    <w:p>
      <w:pPr>
        <w:spacing w:line="460" w:lineRule="exact"/>
        <w:ind w:firstLine="480" w:firstLineChars="200"/>
        <w:rPr>
          <w:sz w:val="24"/>
          <w:szCs w:val="24"/>
        </w:rPr>
      </w:pPr>
      <w:r>
        <w:rPr>
          <w:rFonts w:hint="eastAsia"/>
          <w:sz w:val="24"/>
          <w:szCs w:val="24"/>
        </w:rPr>
        <w:t>项目实际建设情况与环评及批复要求无变动。</w:t>
      </w:r>
    </w:p>
    <w:p>
      <w:pPr>
        <w:spacing w:line="460" w:lineRule="exact"/>
        <w:ind w:firstLine="482" w:firstLineChars="200"/>
        <w:rPr>
          <w:b/>
          <w:sz w:val="24"/>
          <w:szCs w:val="24"/>
        </w:rPr>
      </w:pPr>
      <w:r>
        <w:rPr>
          <w:b/>
          <w:sz w:val="24"/>
          <w:szCs w:val="24"/>
        </w:rPr>
        <w:t>三、环境保护设施建设情况</w:t>
      </w:r>
    </w:p>
    <w:p>
      <w:pPr>
        <w:spacing w:line="460" w:lineRule="exact"/>
        <w:ind w:firstLine="480" w:firstLineChars="200"/>
        <w:rPr>
          <w:sz w:val="24"/>
          <w:szCs w:val="24"/>
        </w:rPr>
      </w:pPr>
      <w:r>
        <w:rPr>
          <w:sz w:val="24"/>
          <w:szCs w:val="24"/>
        </w:rPr>
        <w:t>（一）废水</w:t>
      </w:r>
    </w:p>
    <w:p>
      <w:pPr>
        <w:spacing w:line="460" w:lineRule="exact"/>
        <w:ind w:firstLine="480" w:firstLineChars="200"/>
        <w:rPr>
          <w:bCs/>
          <w:sz w:val="24"/>
          <w:szCs w:val="24"/>
        </w:rPr>
      </w:pPr>
      <w:r>
        <w:rPr>
          <w:rFonts w:hint="eastAsia"/>
          <w:bCs/>
          <w:sz w:val="24"/>
          <w:szCs w:val="24"/>
        </w:rPr>
        <w:t>项目废水主要为生活污水，经化粪池预处理后通过市政污水管网排至青岛崇杰环保平度污水处理厂进行处理。为避免污染土壤及地下水，企业对化粪池进行了防渗漏处理。</w:t>
      </w:r>
    </w:p>
    <w:p>
      <w:pPr>
        <w:spacing w:line="460" w:lineRule="exact"/>
        <w:ind w:firstLine="480" w:firstLineChars="200"/>
        <w:rPr>
          <w:sz w:val="24"/>
          <w:szCs w:val="24"/>
        </w:rPr>
      </w:pPr>
      <w:r>
        <w:rPr>
          <w:sz w:val="24"/>
          <w:szCs w:val="24"/>
        </w:rPr>
        <w:t>（二）废气</w:t>
      </w:r>
    </w:p>
    <w:p>
      <w:pPr>
        <w:spacing w:line="460" w:lineRule="exact"/>
        <w:ind w:firstLine="480" w:firstLineChars="200"/>
        <w:rPr>
          <w:sz w:val="24"/>
          <w:szCs w:val="24"/>
        </w:rPr>
      </w:pPr>
      <w:r>
        <w:rPr>
          <w:rFonts w:hint="eastAsia"/>
          <w:sz w:val="24"/>
          <w:szCs w:val="24"/>
        </w:rPr>
        <w:t>下料、打磨、打孔废气分别集中收集，经布袋除尘器处理后，通过1根高度为15米的排气筒（P1）排放；</w:t>
      </w:r>
    </w:p>
    <w:p>
      <w:pPr>
        <w:spacing w:line="460" w:lineRule="exact"/>
        <w:ind w:firstLine="480" w:firstLineChars="200"/>
        <w:rPr>
          <w:sz w:val="24"/>
          <w:szCs w:val="24"/>
        </w:rPr>
      </w:pPr>
      <w:r>
        <w:rPr>
          <w:rFonts w:hint="eastAsia"/>
          <w:sz w:val="24"/>
          <w:szCs w:val="24"/>
        </w:rPr>
        <w:t>封边、吸膜、贴合废气分别集中收集，经活性炭吸附装置处理后，通过1根高度为15米的排气筒（P2）排放。</w:t>
      </w:r>
    </w:p>
    <w:p>
      <w:pPr>
        <w:spacing w:line="460" w:lineRule="exact"/>
        <w:ind w:firstLine="480" w:firstLineChars="200"/>
        <w:rPr>
          <w:sz w:val="24"/>
          <w:szCs w:val="24"/>
        </w:rPr>
      </w:pPr>
      <w:r>
        <w:rPr>
          <w:sz w:val="24"/>
          <w:szCs w:val="24"/>
        </w:rPr>
        <w:t>项目无组织废气主要为：生产过程中未被收集的废气，经车间直接无组织排放，企业通过加强生产管理来降低无组织废气的排放。</w:t>
      </w:r>
    </w:p>
    <w:p>
      <w:pPr>
        <w:spacing w:line="460" w:lineRule="exact"/>
        <w:ind w:firstLine="480" w:firstLineChars="200"/>
        <w:rPr>
          <w:sz w:val="24"/>
          <w:szCs w:val="24"/>
        </w:rPr>
      </w:pPr>
      <w:r>
        <w:rPr>
          <w:sz w:val="24"/>
          <w:szCs w:val="24"/>
        </w:rPr>
        <w:t>（三）噪声</w:t>
      </w:r>
    </w:p>
    <w:p>
      <w:pPr>
        <w:spacing w:line="460" w:lineRule="exact"/>
        <w:ind w:firstLine="480" w:firstLineChars="200"/>
        <w:rPr>
          <w:sz w:val="24"/>
          <w:szCs w:val="24"/>
        </w:rPr>
      </w:pPr>
      <w:r>
        <w:rPr>
          <w:rFonts w:hint="eastAsia"/>
          <w:bCs/>
          <w:sz w:val="24"/>
          <w:szCs w:val="24"/>
        </w:rPr>
        <w:t>项目营运期噪声主要是数控开料机、开料机、封边机、空压机、推台锯、切角机、切割机、六面钻、打磨机、吸膜机、PVC贴合机、侧孔机、电子开料锯等设备运行产生的噪声。企业通过选用低噪声设备，合理布局，采取减振、消音、隔声等措施降低噪声的影响。</w:t>
      </w:r>
    </w:p>
    <w:p>
      <w:pPr>
        <w:spacing w:line="460" w:lineRule="exact"/>
        <w:ind w:firstLine="480" w:firstLineChars="200"/>
        <w:rPr>
          <w:sz w:val="24"/>
          <w:szCs w:val="24"/>
        </w:rPr>
      </w:pPr>
      <w:r>
        <w:rPr>
          <w:sz w:val="24"/>
          <w:szCs w:val="24"/>
        </w:rPr>
        <w:t>（四）固废</w:t>
      </w:r>
    </w:p>
    <w:p>
      <w:pPr>
        <w:spacing w:line="460" w:lineRule="exact"/>
        <w:ind w:firstLine="480" w:firstLineChars="200"/>
        <w:rPr>
          <w:bCs/>
          <w:sz w:val="24"/>
          <w:szCs w:val="24"/>
        </w:rPr>
      </w:pPr>
      <w:r>
        <w:rPr>
          <w:rFonts w:hint="eastAsia"/>
          <w:bCs/>
          <w:sz w:val="24"/>
          <w:szCs w:val="24"/>
        </w:rPr>
        <w:t>项目一般工业固废主要有：板材下脚料、金属下脚料、除尘器回收的粉尘、废包装材料，均暂存厂区一般固废暂存场，其中板材下脚料和回收粉尘由固定厂家回收；金属下脚料和废包装材料由废品回收站回收。</w:t>
      </w:r>
    </w:p>
    <w:p>
      <w:pPr>
        <w:spacing w:line="460" w:lineRule="exact"/>
        <w:ind w:firstLine="480" w:firstLineChars="200"/>
        <w:rPr>
          <w:bCs/>
          <w:sz w:val="24"/>
          <w:szCs w:val="24"/>
        </w:rPr>
      </w:pPr>
      <w:r>
        <w:rPr>
          <w:rFonts w:hint="eastAsia"/>
          <w:bCs/>
          <w:sz w:val="24"/>
          <w:szCs w:val="24"/>
        </w:rPr>
        <w:t>项目危险废物主要有：废活性炭、废机油、废机油桶、废含油抹布，均分类收集、暂存于项目危险废物暂存间内，其中废含油抹布被列入危险废物豁免管理清单，全过程不按危险废物管理，可混入生活垃圾定期运往光大环保能源（平度）有限公司垃圾焚烧处理；其他危险废物定期委托滕州市厚承废旧物质回收有限公司进行处置。</w:t>
      </w:r>
    </w:p>
    <w:p>
      <w:pPr>
        <w:spacing w:line="460" w:lineRule="exact"/>
        <w:ind w:firstLine="480" w:firstLineChars="200"/>
        <w:rPr>
          <w:rFonts w:hint="eastAsia"/>
          <w:bCs/>
          <w:sz w:val="24"/>
          <w:szCs w:val="24"/>
        </w:rPr>
      </w:pPr>
      <w:r>
        <w:rPr>
          <w:rFonts w:hint="eastAsia"/>
          <w:bCs/>
          <w:sz w:val="24"/>
          <w:szCs w:val="24"/>
        </w:rPr>
        <w:t>项目职工产生的生活垃圾集中收集后，由环卫部门定期清运。</w:t>
      </w:r>
    </w:p>
    <w:p>
      <w:pPr>
        <w:spacing w:line="460" w:lineRule="exact"/>
        <w:ind w:firstLine="480" w:firstLineChars="200"/>
        <w:rPr>
          <w:sz w:val="24"/>
          <w:szCs w:val="24"/>
        </w:rPr>
      </w:pPr>
      <w:r>
        <w:rPr>
          <w:sz w:val="24"/>
          <w:szCs w:val="24"/>
        </w:rPr>
        <w:t>（五）环境风险</w:t>
      </w:r>
    </w:p>
    <w:p>
      <w:pPr>
        <w:spacing w:line="460" w:lineRule="exact"/>
        <w:ind w:firstLine="480" w:firstLineChars="200"/>
        <w:rPr>
          <w:sz w:val="24"/>
          <w:szCs w:val="24"/>
        </w:rPr>
      </w:pPr>
      <w:r>
        <w:rPr>
          <w:bCs/>
          <w:sz w:val="24"/>
          <w:szCs w:val="24"/>
        </w:rPr>
        <w:t>企业编制了《青岛万华华征家居有限公司突发环境事件应急预案》，并在当地环保部门备案（备案号：3</w:t>
      </w:r>
      <w:r>
        <w:rPr>
          <w:rFonts w:hint="eastAsia"/>
          <w:bCs/>
          <w:sz w:val="24"/>
          <w:szCs w:val="24"/>
        </w:rPr>
        <w:t>7</w:t>
      </w:r>
      <w:r>
        <w:rPr>
          <w:bCs/>
          <w:sz w:val="24"/>
          <w:szCs w:val="24"/>
        </w:rPr>
        <w:t>0283-</w:t>
      </w:r>
      <w:r>
        <w:rPr>
          <w:rFonts w:hint="eastAsia"/>
          <w:bCs/>
          <w:sz w:val="24"/>
          <w:szCs w:val="24"/>
        </w:rPr>
        <w:t>20201204</w:t>
      </w:r>
      <w:r>
        <w:rPr>
          <w:bCs/>
          <w:sz w:val="24"/>
          <w:szCs w:val="24"/>
        </w:rPr>
        <w:t>-</w:t>
      </w:r>
      <w:r>
        <w:rPr>
          <w:rFonts w:hint="eastAsia"/>
          <w:bCs/>
          <w:sz w:val="24"/>
          <w:szCs w:val="24"/>
        </w:rPr>
        <w:t>465</w:t>
      </w:r>
      <w:r>
        <w:rPr>
          <w:bCs/>
          <w:sz w:val="24"/>
          <w:szCs w:val="24"/>
        </w:rPr>
        <w:t>-</w:t>
      </w:r>
      <w:r>
        <w:rPr>
          <w:rFonts w:hint="eastAsia"/>
          <w:bCs/>
          <w:sz w:val="24"/>
          <w:szCs w:val="24"/>
        </w:rPr>
        <w:t>L</w:t>
      </w:r>
      <w:r>
        <w:rPr>
          <w:bCs/>
          <w:sz w:val="24"/>
          <w:szCs w:val="24"/>
        </w:rPr>
        <w:t>）。</w:t>
      </w:r>
    </w:p>
    <w:p>
      <w:pPr>
        <w:spacing w:line="460" w:lineRule="exact"/>
        <w:ind w:firstLine="482" w:firstLineChars="200"/>
        <w:rPr>
          <w:b/>
          <w:sz w:val="24"/>
          <w:szCs w:val="24"/>
        </w:rPr>
      </w:pPr>
      <w:r>
        <w:rPr>
          <w:b/>
          <w:sz w:val="24"/>
          <w:szCs w:val="24"/>
        </w:rPr>
        <w:t>四、环保措施调试效果</w:t>
      </w:r>
    </w:p>
    <w:p>
      <w:pPr>
        <w:spacing w:line="460" w:lineRule="exact"/>
        <w:ind w:firstLine="480" w:firstLineChars="200"/>
        <w:rPr>
          <w:sz w:val="24"/>
          <w:szCs w:val="24"/>
        </w:rPr>
      </w:pPr>
      <w:r>
        <w:rPr>
          <w:sz w:val="24"/>
          <w:szCs w:val="24"/>
        </w:rPr>
        <w:t>青岛万华华征家居有限公司验收监测报告表明，验收监测期间：</w:t>
      </w:r>
    </w:p>
    <w:p>
      <w:pPr>
        <w:spacing w:line="460" w:lineRule="exact"/>
        <w:ind w:firstLine="480" w:firstLineChars="200"/>
        <w:rPr>
          <w:sz w:val="24"/>
          <w:szCs w:val="24"/>
        </w:rPr>
      </w:pPr>
      <w:r>
        <w:rPr>
          <w:rFonts w:hint="eastAsia"/>
          <w:sz w:val="24"/>
          <w:szCs w:val="24"/>
        </w:rPr>
        <w:t>验收监测期间，排气筒P1中颗粒物排放浓度满足《区域性大气污染物综合排放标准》（DB37/2376 -2019）表1中重点控制区大气污染物排放浓度限值要求；颗粒物排放速率满足《大气污染物综合排放标准》（GB16297-1996）表2中二级标准。废气排气筒P2中VOCs、二甲苯排放浓度和排放速率均满足《挥发性有机物排放标准 第3部分：家具制造业》（DB37/2801.3 -2017）表1中第Ⅱ时段限值要求。</w:t>
      </w:r>
    </w:p>
    <w:p>
      <w:pPr>
        <w:spacing w:line="460" w:lineRule="exact"/>
        <w:ind w:firstLine="480" w:firstLineChars="200"/>
        <w:rPr>
          <w:rFonts w:hint="eastAsia"/>
          <w:sz w:val="24"/>
          <w:szCs w:val="24"/>
        </w:rPr>
      </w:pPr>
      <w:r>
        <w:rPr>
          <w:sz w:val="24"/>
          <w:szCs w:val="24"/>
        </w:rPr>
        <w:t>无组织排放废气厂界监控点</w:t>
      </w:r>
      <w:r>
        <w:rPr>
          <w:rFonts w:hint="eastAsia"/>
          <w:sz w:val="24"/>
          <w:szCs w:val="24"/>
        </w:rPr>
        <w:t>颗粒物满足《大气污染物综合排放标准》（GB16297-1996）表2厂界无组织排放监控浓度限值；VOCs满足《挥发性有机物排放标准 第3部分：家具制造业》（DB37/2801.3-2017）表2标准。</w:t>
      </w:r>
    </w:p>
    <w:p>
      <w:pPr>
        <w:spacing w:line="460" w:lineRule="exact"/>
        <w:ind w:firstLine="480" w:firstLineChars="200"/>
        <w:rPr>
          <w:sz w:val="24"/>
          <w:szCs w:val="24"/>
        </w:rPr>
      </w:pPr>
      <w:r>
        <w:rPr>
          <w:rFonts w:hint="eastAsia"/>
          <w:bCs/>
          <w:sz w:val="24"/>
          <w:szCs w:val="24"/>
        </w:rPr>
        <w:t>厂界昼夜噪声满足</w:t>
      </w:r>
      <w:r>
        <w:rPr>
          <w:bCs/>
          <w:sz w:val="24"/>
          <w:szCs w:val="24"/>
        </w:rPr>
        <w:t>《</w:t>
      </w:r>
      <w:r>
        <w:rPr>
          <w:rFonts w:hint="eastAsia"/>
          <w:bCs/>
          <w:sz w:val="24"/>
          <w:szCs w:val="24"/>
        </w:rPr>
        <w:t>工业企业厂界环境噪声排放标准</w:t>
      </w:r>
      <w:r>
        <w:rPr>
          <w:bCs/>
          <w:sz w:val="24"/>
          <w:szCs w:val="24"/>
        </w:rPr>
        <w:t>》</w:t>
      </w:r>
      <w:r>
        <w:rPr>
          <w:rFonts w:hint="eastAsia"/>
          <w:bCs/>
          <w:sz w:val="24"/>
          <w:szCs w:val="24"/>
        </w:rPr>
        <w:t>（</w:t>
      </w:r>
      <w:r>
        <w:rPr>
          <w:bCs/>
          <w:sz w:val="24"/>
          <w:szCs w:val="24"/>
        </w:rPr>
        <w:t>GB</w:t>
      </w:r>
      <w:r>
        <w:rPr>
          <w:rFonts w:hint="eastAsia"/>
          <w:bCs/>
          <w:sz w:val="24"/>
          <w:szCs w:val="24"/>
        </w:rPr>
        <w:t>12348</w:t>
      </w:r>
      <w:r>
        <w:rPr>
          <w:bCs/>
          <w:sz w:val="24"/>
          <w:szCs w:val="24"/>
        </w:rPr>
        <w:t>-2008</w:t>
      </w:r>
      <w:r>
        <w:rPr>
          <w:rFonts w:hint="eastAsia"/>
          <w:bCs/>
          <w:sz w:val="24"/>
          <w:szCs w:val="24"/>
        </w:rPr>
        <w:t>）表1中3类声环境功能区标准。</w:t>
      </w:r>
    </w:p>
    <w:p>
      <w:pPr>
        <w:spacing w:line="460" w:lineRule="exact"/>
        <w:ind w:firstLine="482" w:firstLineChars="200"/>
        <w:rPr>
          <w:b/>
          <w:sz w:val="24"/>
          <w:szCs w:val="24"/>
        </w:rPr>
      </w:pPr>
      <w:r>
        <w:rPr>
          <w:b/>
          <w:sz w:val="24"/>
          <w:szCs w:val="24"/>
        </w:rPr>
        <w:t>五、验收结论</w:t>
      </w:r>
    </w:p>
    <w:p>
      <w:pPr>
        <w:spacing w:line="460" w:lineRule="exact"/>
        <w:ind w:firstLine="480" w:firstLineChars="200"/>
        <w:rPr>
          <w:sz w:val="24"/>
          <w:szCs w:val="24"/>
        </w:rPr>
      </w:pPr>
      <w:r>
        <w:rPr>
          <w:sz w:val="24"/>
          <w:szCs w:val="24"/>
        </w:rPr>
        <w:t>项目已按环评和批复要求完成“三同时”建设，无重大变动，污染物达标排放，验收监测报告结论可信，验收合格。</w:t>
      </w:r>
    </w:p>
    <w:p>
      <w:pPr>
        <w:spacing w:line="460" w:lineRule="exact"/>
        <w:ind w:firstLine="482" w:firstLineChars="200"/>
        <w:rPr>
          <w:b/>
          <w:sz w:val="24"/>
          <w:szCs w:val="24"/>
        </w:rPr>
      </w:pPr>
      <w:r>
        <w:rPr>
          <w:b/>
          <w:sz w:val="24"/>
          <w:szCs w:val="24"/>
        </w:rPr>
        <w:t>六、后续要求</w:t>
      </w:r>
    </w:p>
    <w:p>
      <w:pPr>
        <w:spacing w:line="460" w:lineRule="exact"/>
        <w:ind w:firstLine="480" w:firstLineChars="200"/>
        <w:rPr>
          <w:sz w:val="24"/>
          <w:szCs w:val="24"/>
        </w:rPr>
      </w:pPr>
      <w:r>
        <w:rPr>
          <w:sz w:val="24"/>
          <w:szCs w:val="24"/>
        </w:rPr>
        <w:t>1、按照《排污单位自行监测技术指南-总则》(HJ819-2017)要求，自主组织进行污染源监测，并做好记录。</w:t>
      </w:r>
    </w:p>
    <w:p>
      <w:pPr>
        <w:spacing w:line="460" w:lineRule="exact"/>
        <w:ind w:firstLine="480" w:firstLineChars="200"/>
        <w:rPr>
          <w:sz w:val="24"/>
          <w:szCs w:val="24"/>
        </w:rPr>
      </w:pPr>
      <w:r>
        <w:rPr>
          <w:rFonts w:hint="eastAsia"/>
          <w:sz w:val="24"/>
          <w:szCs w:val="24"/>
        </w:rPr>
        <w:t>2、尽快完成突发环境事件应急预案编制及备案工作。</w:t>
      </w:r>
    </w:p>
    <w:p>
      <w:pPr>
        <w:spacing w:line="460" w:lineRule="exact"/>
        <w:ind w:firstLine="480" w:firstLineChars="200"/>
        <w:rPr>
          <w:sz w:val="24"/>
          <w:szCs w:val="24"/>
        </w:rPr>
      </w:pPr>
    </w:p>
    <w:p>
      <w:pPr>
        <w:spacing w:line="460" w:lineRule="exact"/>
        <w:ind w:firstLine="480" w:firstLineChars="200"/>
        <w:rPr>
          <w:sz w:val="24"/>
          <w:szCs w:val="24"/>
        </w:rPr>
      </w:pPr>
    </w:p>
    <w:p>
      <w:pPr>
        <w:spacing w:line="460" w:lineRule="exact"/>
        <w:ind w:firstLine="482" w:firstLineChars="200"/>
        <w:jc w:val="right"/>
        <w:rPr>
          <w:b/>
          <w:bCs/>
          <w:sz w:val="24"/>
        </w:rPr>
      </w:pPr>
      <w:r>
        <w:rPr>
          <w:b/>
          <w:bCs/>
          <w:sz w:val="24"/>
        </w:rPr>
        <w:t>青岛万华华征家居有限公司</w:t>
      </w:r>
    </w:p>
    <w:p>
      <w:pPr>
        <w:spacing w:line="460" w:lineRule="exact"/>
        <w:ind w:firstLine="482" w:firstLineChars="200"/>
        <w:jc w:val="right"/>
        <w:rPr>
          <w:b/>
          <w:bCs/>
        </w:rPr>
      </w:pPr>
      <w:r>
        <w:rPr>
          <w:b/>
          <w:bCs/>
          <w:sz w:val="24"/>
        </w:rPr>
        <w:t>2020年</w:t>
      </w:r>
      <w:r>
        <w:rPr>
          <w:rFonts w:hint="eastAsia"/>
          <w:b/>
          <w:bCs/>
          <w:sz w:val="24"/>
        </w:rPr>
        <w:t>12</w:t>
      </w:r>
      <w:r>
        <w:rPr>
          <w:b/>
          <w:bCs/>
          <w:sz w:val="24"/>
        </w:rPr>
        <w:t>月</w:t>
      </w:r>
      <w:r>
        <w:rPr>
          <w:rFonts w:hint="eastAsia"/>
          <w:b/>
          <w:bCs/>
          <w:sz w:val="24"/>
          <w:lang w:val="en-US" w:eastAsia="zh-CN"/>
        </w:rPr>
        <w:t>14</w:t>
      </w:r>
      <w:r>
        <w:rPr>
          <w:b/>
          <w:bCs/>
          <w:sz w:val="24"/>
        </w:rPr>
        <w:t>日</w:t>
      </w:r>
    </w:p>
    <w:p>
      <w:pPr>
        <w:spacing w:line="420" w:lineRule="exact"/>
        <w:rPr>
          <w:b/>
          <w:bCs/>
          <w:sz w:val="36"/>
          <w:szCs w:val="36"/>
        </w:rPr>
      </w:pPr>
      <w:r>
        <w:rPr>
          <w:b/>
          <w:bCs/>
          <w:sz w:val="32"/>
          <w:szCs w:val="32"/>
        </w:rPr>
        <w:br w:type="page"/>
      </w:r>
      <w:r>
        <w:rPr>
          <w:b/>
          <w:bCs/>
          <w:sz w:val="36"/>
          <w:szCs w:val="36"/>
        </w:rPr>
        <w:t>附件：</w:t>
      </w:r>
    </w:p>
    <w:p>
      <w:pPr>
        <w:spacing w:line="276" w:lineRule="auto"/>
        <w:jc w:val="center"/>
        <w:rPr>
          <w:sz w:val="22"/>
          <w:szCs w:val="21"/>
        </w:rPr>
      </w:pPr>
      <w:r>
        <w:rPr>
          <w:b/>
          <w:sz w:val="36"/>
          <w:szCs w:val="21"/>
        </w:rPr>
        <w:t>青岛万华华征家居有限公司板式家具生产项目</w:t>
      </w:r>
    </w:p>
    <w:p>
      <w:pPr>
        <w:spacing w:line="276" w:lineRule="auto"/>
        <w:jc w:val="center"/>
        <w:rPr>
          <w:sz w:val="22"/>
          <w:szCs w:val="21"/>
        </w:rPr>
      </w:pPr>
      <w:r>
        <w:rPr>
          <w:b/>
          <w:sz w:val="36"/>
          <w:szCs w:val="21"/>
        </w:rPr>
        <w:t>竣工环境保护验收意见</w:t>
      </w:r>
    </w:p>
    <w:p>
      <w:pPr>
        <w:spacing w:line="420" w:lineRule="exact"/>
        <w:ind w:firstLine="440" w:firstLineChars="200"/>
        <w:rPr>
          <w:sz w:val="22"/>
          <w:szCs w:val="21"/>
        </w:rPr>
      </w:pPr>
    </w:p>
    <w:tbl>
      <w:tblPr>
        <w:tblStyle w:val="8"/>
        <w:tblW w:w="0" w:type="auto"/>
        <w:jc w:val="center"/>
        <w:tblLayout w:type="fixed"/>
        <w:tblCellMar>
          <w:top w:w="0" w:type="dxa"/>
          <w:left w:w="51" w:type="dxa"/>
          <w:bottom w:w="0" w:type="dxa"/>
          <w:right w:w="51" w:type="dxa"/>
        </w:tblCellMar>
      </w:tblPr>
      <w:tblGrid>
        <w:gridCol w:w="608"/>
        <w:gridCol w:w="1163"/>
        <w:gridCol w:w="944"/>
        <w:gridCol w:w="2872"/>
        <w:gridCol w:w="894"/>
        <w:gridCol w:w="1800"/>
      </w:tblGrid>
      <w:tr>
        <w:tblPrEx>
          <w:tblCellMar>
            <w:top w:w="0" w:type="dxa"/>
            <w:left w:w="51" w:type="dxa"/>
            <w:bottom w:w="0" w:type="dxa"/>
            <w:right w:w="51" w:type="dxa"/>
          </w:tblCellMar>
        </w:tblPrEx>
        <w:trPr>
          <w:trHeight w:val="737" w:hRule="atLeast"/>
          <w:jc w:val="center"/>
        </w:trPr>
        <w:tc>
          <w:tcPr>
            <w:tcW w:w="1771" w:type="dxa"/>
            <w:gridSpan w:val="2"/>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验收组</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姓  名</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单      位</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职务/</w:t>
            </w:r>
          </w:p>
          <w:p>
            <w:pPr>
              <w:snapToGrid w:val="0"/>
              <w:spacing w:before="120" w:beforeLines="50" w:line="240" w:lineRule="atLeast"/>
              <w:jc w:val="center"/>
              <w:rPr>
                <w:sz w:val="22"/>
                <w:szCs w:val="21"/>
              </w:rPr>
            </w:pPr>
            <w:r>
              <w:rPr>
                <w:b/>
                <w:snapToGrid w:val="0"/>
                <w:kern w:val="0"/>
                <w:sz w:val="28"/>
                <w:szCs w:val="28"/>
              </w:rPr>
              <w:t>职称</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2"/>
                <w:szCs w:val="21"/>
              </w:rPr>
            </w:pPr>
            <w:r>
              <w:rPr>
                <w:b/>
                <w:snapToGrid w:val="0"/>
                <w:kern w:val="0"/>
                <w:sz w:val="28"/>
                <w:szCs w:val="28"/>
              </w:rPr>
              <w:t>签  名</w:t>
            </w:r>
          </w:p>
        </w:tc>
      </w:tr>
      <w:tr>
        <w:tblPrEx>
          <w:tblCellMar>
            <w:top w:w="0" w:type="dxa"/>
            <w:left w:w="51" w:type="dxa"/>
            <w:bottom w:w="0" w:type="dxa"/>
            <w:right w:w="51" w:type="dxa"/>
          </w:tblCellMar>
        </w:tblPrEx>
        <w:trPr>
          <w:trHeight w:val="1035" w:hRule="atLeast"/>
          <w:jc w:val="center"/>
        </w:trPr>
        <w:tc>
          <w:tcPr>
            <w:tcW w:w="608"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组长</w:t>
            </w: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建设单位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4"/>
                <w:szCs w:val="24"/>
              </w:rPr>
            </w:pPr>
            <w:r>
              <w:rPr>
                <w:rFonts w:hint="eastAsia"/>
                <w:kern w:val="0"/>
                <w:sz w:val="21"/>
                <w:szCs w:val="21"/>
                <w:lang w:val="zh-CN"/>
              </w:rPr>
              <w:t>翟保产</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青岛万华华征家居有限公司</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4"/>
                <w:szCs w:val="24"/>
              </w:rPr>
            </w:pPr>
            <w:r>
              <w:rPr>
                <w:sz w:val="24"/>
                <w:szCs w:val="24"/>
              </w:rPr>
              <w:t>总经理</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r>
        <w:tblPrEx>
          <w:tblCellMar>
            <w:top w:w="0" w:type="dxa"/>
            <w:left w:w="51" w:type="dxa"/>
            <w:bottom w:w="0" w:type="dxa"/>
            <w:right w:w="51" w:type="dxa"/>
          </w:tblCellMar>
        </w:tblPrEx>
        <w:trPr>
          <w:trHeight w:val="1058" w:hRule="atLeast"/>
          <w:jc w:val="center"/>
        </w:trPr>
        <w:tc>
          <w:tcPr>
            <w:tcW w:w="608" w:type="dxa"/>
            <w:vMerge w:val="restart"/>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成员</w:t>
            </w: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验收报告编制单位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4"/>
                <w:szCs w:val="24"/>
              </w:rPr>
            </w:pPr>
            <w:r>
              <w:rPr>
                <w:rFonts w:hint="eastAsia"/>
                <w:kern w:val="0"/>
                <w:sz w:val="21"/>
                <w:szCs w:val="21"/>
                <w:lang w:val="zh-CN"/>
              </w:rPr>
              <w:t>姜旭亮</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青岛万华华征家居有限</w:t>
            </w:r>
            <w:bookmarkStart w:id="0" w:name="_GoBack"/>
            <w:bookmarkEnd w:id="0"/>
            <w:r>
              <w:rPr>
                <w:snapToGrid w:val="0"/>
                <w:kern w:val="0"/>
                <w:sz w:val="24"/>
                <w:szCs w:val="24"/>
              </w:rPr>
              <w:t>公司</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rFonts w:hint="default" w:eastAsia="宋体"/>
                <w:sz w:val="24"/>
                <w:szCs w:val="24"/>
                <w:lang w:val="en-US" w:eastAsia="zh-CN"/>
              </w:rPr>
            </w:pPr>
            <w:r>
              <w:rPr>
                <w:rFonts w:hint="eastAsia"/>
                <w:sz w:val="24"/>
                <w:szCs w:val="24"/>
                <w:lang w:val="en-US" w:eastAsia="zh-CN"/>
              </w:rPr>
              <w:t>安全代表</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r>
        <w:tblPrEx>
          <w:tblCellMar>
            <w:top w:w="0" w:type="dxa"/>
            <w:left w:w="51" w:type="dxa"/>
            <w:bottom w:w="0" w:type="dxa"/>
            <w:right w:w="51" w:type="dxa"/>
          </w:tblCellMar>
        </w:tblPrEx>
        <w:trPr>
          <w:trHeight w:val="1041" w:hRule="atLeast"/>
          <w:jc w:val="center"/>
        </w:trPr>
        <w:tc>
          <w:tcPr>
            <w:tcW w:w="608" w:type="dxa"/>
            <w:vMerge w:val="continue"/>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c>
          <w:tcPr>
            <w:tcW w:w="1163"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监测单位</w:t>
            </w:r>
          </w:p>
        </w:tc>
        <w:tc>
          <w:tcPr>
            <w:tcW w:w="94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z w:val="24"/>
                <w:szCs w:val="24"/>
              </w:rPr>
            </w:pPr>
            <w:r>
              <w:rPr>
                <w:sz w:val="24"/>
                <w:szCs w:val="24"/>
              </w:rPr>
              <w:t>姜海洋</w:t>
            </w:r>
          </w:p>
        </w:tc>
        <w:tc>
          <w:tcPr>
            <w:tcW w:w="2872"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rPr>
                <w:snapToGrid w:val="0"/>
                <w:kern w:val="0"/>
                <w:sz w:val="24"/>
                <w:szCs w:val="24"/>
              </w:rPr>
            </w:pPr>
            <w:r>
              <w:rPr>
                <w:rFonts w:hint="eastAsia"/>
                <w:snapToGrid w:val="0"/>
                <w:kern w:val="0"/>
                <w:sz w:val="24"/>
                <w:szCs w:val="24"/>
              </w:rPr>
              <w:t>青岛中旭检测检验</w:t>
            </w:r>
          </w:p>
          <w:p>
            <w:pPr>
              <w:snapToGrid w:val="0"/>
              <w:spacing w:before="120" w:beforeLines="50" w:line="240" w:lineRule="atLeast"/>
              <w:jc w:val="center"/>
            </w:pPr>
            <w:r>
              <w:rPr>
                <w:rFonts w:hint="eastAsia"/>
                <w:snapToGrid w:val="0"/>
                <w:kern w:val="0"/>
                <w:sz w:val="24"/>
                <w:szCs w:val="24"/>
              </w:rPr>
              <w:t>有限公司</w:t>
            </w:r>
          </w:p>
        </w:tc>
        <w:tc>
          <w:tcPr>
            <w:tcW w:w="894"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r>
              <w:rPr>
                <w:snapToGrid w:val="0"/>
                <w:kern w:val="0"/>
                <w:sz w:val="24"/>
                <w:szCs w:val="24"/>
              </w:rPr>
              <w:t>工程师</w:t>
            </w:r>
          </w:p>
        </w:tc>
        <w:tc>
          <w:tcPr>
            <w:tcW w:w="1800" w:type="dxa"/>
            <w:tcBorders>
              <w:top w:val="single" w:color="auto" w:sz="4" w:space="0"/>
              <w:left w:val="single" w:color="auto" w:sz="4" w:space="0"/>
              <w:bottom w:val="single" w:color="auto" w:sz="4" w:space="0"/>
              <w:right w:val="single" w:color="auto" w:sz="4" w:space="0"/>
            </w:tcBorders>
            <w:vAlign w:val="center"/>
          </w:tcPr>
          <w:p>
            <w:pPr>
              <w:snapToGrid w:val="0"/>
              <w:spacing w:before="120" w:beforeLines="50" w:line="240" w:lineRule="atLeast"/>
              <w:jc w:val="center"/>
            </w:pPr>
          </w:p>
        </w:tc>
      </w:tr>
    </w:tbl>
    <w:p>
      <w:pPr>
        <w:spacing w:line="276" w:lineRule="auto"/>
        <w:ind w:firstLine="420" w:firstLineChars="200"/>
      </w:pPr>
    </w:p>
    <w:p>
      <w:pPr>
        <w:spacing w:line="276" w:lineRule="auto"/>
        <w:ind w:firstLine="480" w:firstLineChars="200"/>
        <w:jc w:val="right"/>
        <w:rPr>
          <w:sz w:val="24"/>
        </w:rPr>
      </w:pPr>
      <w:r>
        <w:rPr>
          <w:sz w:val="24"/>
        </w:rPr>
        <w:t>2020年</w:t>
      </w:r>
      <w:r>
        <w:rPr>
          <w:rFonts w:hint="eastAsia"/>
          <w:sz w:val="24"/>
        </w:rPr>
        <w:t>12</w:t>
      </w:r>
      <w:r>
        <w:rPr>
          <w:sz w:val="24"/>
        </w:rPr>
        <w:t>月</w:t>
      </w:r>
      <w:r>
        <w:rPr>
          <w:rFonts w:hint="eastAsia"/>
          <w:sz w:val="24"/>
          <w:lang w:val="en-US" w:eastAsia="zh-CN"/>
        </w:rPr>
        <w:t>14</w:t>
      </w:r>
      <w:r>
        <w:rPr>
          <w:sz w:val="24"/>
        </w:rPr>
        <w:t>日</w:t>
      </w:r>
    </w:p>
    <w:sectPr>
      <w:pgSz w:w="11906" w:h="16838"/>
      <w:pgMar w:top="1440" w:right="1797" w:bottom="1440" w:left="1797" w:header="709" w:footer="709" w:gutter="0"/>
      <w:cols w:space="425"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10"/>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1D73"/>
    <w:rsid w:val="002A1E46"/>
    <w:rsid w:val="00561D73"/>
    <w:rsid w:val="00613EA2"/>
    <w:rsid w:val="006D2E8F"/>
    <w:rsid w:val="0087455C"/>
    <w:rsid w:val="00BB467F"/>
    <w:rsid w:val="05565C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nhideWhenUsed="0" w:uiPriority="0" w:semiHidden="0" w:name="annotation text"/>
    <w:lsdException w:unhideWhenUsed="0"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9">
    <w:name w:val="Default Paragraph Font"/>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16"/>
    <w:uiPriority w:val="0"/>
    <w:pPr>
      <w:jc w:val="left"/>
    </w:pPr>
  </w:style>
  <w:style w:type="paragraph" w:styleId="3">
    <w:name w:val="Body Text"/>
    <w:basedOn w:val="1"/>
    <w:link w:val="14"/>
    <w:uiPriority w:val="99"/>
    <w:pPr>
      <w:spacing w:after="120"/>
    </w:pPr>
  </w:style>
  <w:style w:type="paragraph" w:styleId="4">
    <w:name w:val="Balloon Text"/>
    <w:basedOn w:val="1"/>
    <w:link w:val="17"/>
    <w:uiPriority w:val="99"/>
    <w:rPr>
      <w:sz w:val="18"/>
      <w:szCs w:val="18"/>
    </w:rPr>
  </w:style>
  <w:style w:type="paragraph" w:styleId="5">
    <w:name w:val="footer"/>
    <w:basedOn w:val="1"/>
    <w:link w:val="12"/>
    <w:uiPriority w:val="99"/>
    <w:pPr>
      <w:tabs>
        <w:tab w:val="center" w:pos="4153"/>
        <w:tab w:val="right" w:pos="8306"/>
      </w:tabs>
      <w:snapToGrid w:val="0"/>
      <w:jc w:val="left"/>
    </w:pPr>
    <w:rPr>
      <w:rFonts w:ascii="Calibri" w:hAnsi="Calibri" w:cs="宋体"/>
      <w:sz w:val="18"/>
      <w:szCs w:val="18"/>
    </w:rPr>
  </w:style>
  <w:style w:type="paragraph" w:styleId="6">
    <w:name w:val="header"/>
    <w:basedOn w:val="1"/>
    <w:link w:val="11"/>
    <w:uiPriority w:val="99"/>
    <w:pPr>
      <w:pBdr>
        <w:bottom w:val="single" w:color="auto" w:sz="6" w:space="1"/>
      </w:pBdr>
      <w:tabs>
        <w:tab w:val="center" w:pos="4153"/>
        <w:tab w:val="right" w:pos="8306"/>
      </w:tabs>
      <w:snapToGrid w:val="0"/>
      <w:jc w:val="center"/>
    </w:pPr>
    <w:rPr>
      <w:rFonts w:ascii="Calibri" w:hAnsi="Calibri" w:cs="宋体"/>
      <w:sz w:val="18"/>
      <w:szCs w:val="18"/>
    </w:rPr>
  </w:style>
  <w:style w:type="paragraph" w:styleId="7">
    <w:name w:val="Body Text First Indent"/>
    <w:basedOn w:val="3"/>
    <w:link w:val="15"/>
    <w:qFormat/>
    <w:uiPriority w:val="99"/>
    <w:pPr>
      <w:ind w:firstLine="420" w:firstLineChars="100"/>
    </w:pPr>
    <w:rPr>
      <w:szCs w:val="21"/>
    </w:rPr>
  </w:style>
  <w:style w:type="character" w:styleId="10">
    <w:name w:val="annotation reference"/>
    <w:qFormat/>
    <w:uiPriority w:val="99"/>
    <w:rPr>
      <w:sz w:val="21"/>
      <w:szCs w:val="21"/>
    </w:rPr>
  </w:style>
  <w:style w:type="character" w:customStyle="1" w:styleId="11">
    <w:name w:val="页眉 Char"/>
    <w:basedOn w:val="9"/>
    <w:link w:val="6"/>
    <w:uiPriority w:val="99"/>
    <w:rPr>
      <w:sz w:val="18"/>
      <w:szCs w:val="18"/>
    </w:rPr>
  </w:style>
  <w:style w:type="character" w:customStyle="1" w:styleId="12">
    <w:name w:val="页脚 Char"/>
    <w:basedOn w:val="9"/>
    <w:link w:val="5"/>
    <w:uiPriority w:val="99"/>
    <w:rPr>
      <w:sz w:val="18"/>
      <w:szCs w:val="18"/>
    </w:rPr>
  </w:style>
  <w:style w:type="paragraph" w:styleId="13">
    <w:name w:val="List Paragraph"/>
    <w:basedOn w:val="1"/>
    <w:qFormat/>
    <w:uiPriority w:val="34"/>
    <w:pPr>
      <w:ind w:firstLine="420" w:firstLineChars="200"/>
    </w:pPr>
  </w:style>
  <w:style w:type="character" w:customStyle="1" w:styleId="14">
    <w:name w:val="正文文本 Char"/>
    <w:basedOn w:val="9"/>
    <w:link w:val="3"/>
    <w:uiPriority w:val="99"/>
    <w:rPr>
      <w:rFonts w:ascii="Times New Roman" w:hAnsi="Times New Roman" w:eastAsia="宋体" w:cs="Times New Roman"/>
      <w:szCs w:val="20"/>
    </w:rPr>
  </w:style>
  <w:style w:type="character" w:customStyle="1" w:styleId="15">
    <w:name w:val="正文首行缩进 Char"/>
    <w:basedOn w:val="14"/>
    <w:link w:val="7"/>
    <w:uiPriority w:val="99"/>
    <w:rPr>
      <w:rFonts w:ascii="Times New Roman" w:hAnsi="Times New Roman" w:eastAsia="宋体" w:cs="Times New Roman"/>
      <w:szCs w:val="21"/>
    </w:rPr>
  </w:style>
  <w:style w:type="character" w:customStyle="1" w:styleId="16">
    <w:name w:val="批注文字 Char"/>
    <w:basedOn w:val="9"/>
    <w:link w:val="2"/>
    <w:uiPriority w:val="0"/>
    <w:rPr>
      <w:rFonts w:ascii="Times New Roman" w:hAnsi="Times New Roman" w:eastAsia="宋体" w:cs="Times New Roman"/>
      <w:szCs w:val="20"/>
    </w:rPr>
  </w:style>
  <w:style w:type="character" w:customStyle="1" w:styleId="17">
    <w:name w:val="批注框文本 Char"/>
    <w:basedOn w:val="9"/>
    <w:link w:val="4"/>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336</Words>
  <Characters>1917</Characters>
  <Lines>15</Lines>
  <Paragraphs>4</Paragraphs>
  <TotalTime>0</TotalTime>
  <ScaleCrop>false</ScaleCrop>
  <LinksUpToDate>false</LinksUpToDate>
  <CharactersWithSpaces>2249</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2020-01-08T14:14:00Z</dcterms:created>
  <dc:creator>Admin</dc:creator>
  <cp:lastModifiedBy>环保管家</cp:lastModifiedBy>
  <dcterms:modified xsi:type="dcterms:W3CDTF">2020-12-16T02:00:56Z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