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08B041">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Times New Roman" w:hAnsi="Times New Roman" w:cs="Times New Roman" w:eastAsiaTheme="majorEastAsia"/>
          <w:b/>
          <w:bCs/>
          <w:sz w:val="30"/>
          <w:szCs w:val="30"/>
          <w:lang w:val="en-US" w:eastAsia="zh-CN"/>
        </w:rPr>
      </w:pPr>
      <w:r>
        <w:rPr>
          <w:rFonts w:hint="eastAsia" w:ascii="Times New Roman" w:hAnsi="Times New Roman" w:cs="Times New Roman"/>
          <w:b/>
          <w:bCs/>
          <w:sz w:val="28"/>
          <w:szCs w:val="28"/>
          <w:lang w:val="en-US" w:eastAsia="zh-CN"/>
        </w:rPr>
        <w:t>山东云信铝业科技有限公司年产10万吨铝中间合金项目（一期）</w:t>
      </w:r>
    </w:p>
    <w:p w14:paraId="78F46713">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cs="Times New Roman" w:eastAsiaTheme="majorEastAsia"/>
          <w:b/>
          <w:bCs/>
          <w:sz w:val="30"/>
          <w:szCs w:val="30"/>
          <w:lang w:eastAsia="zh-CN"/>
        </w:rPr>
      </w:pPr>
      <w:r>
        <w:rPr>
          <w:rFonts w:hint="default" w:ascii="Times New Roman" w:hAnsi="Times New Roman" w:cs="Times New Roman" w:eastAsiaTheme="majorEastAsia"/>
          <w:b/>
          <w:bCs/>
          <w:sz w:val="28"/>
          <w:szCs w:val="28"/>
          <w:lang w:eastAsia="zh-CN"/>
        </w:rPr>
        <w:t>竣工环境保护验收</w:t>
      </w:r>
      <w:r>
        <w:rPr>
          <w:rFonts w:hint="eastAsia" w:ascii="Times New Roman" w:hAnsi="Times New Roman" w:cs="Times New Roman" w:eastAsiaTheme="majorEastAsia"/>
          <w:b/>
          <w:bCs/>
          <w:sz w:val="28"/>
          <w:szCs w:val="28"/>
          <w:lang w:eastAsia="zh-CN"/>
        </w:rPr>
        <w:t>其他需要说明的事项</w:t>
      </w:r>
    </w:p>
    <w:p w14:paraId="7FEAF90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根据《建设项目竣工环境保护验收暂行办法》，建设单位在“其他需要说明的事项”中应当如实记载环境保护设施设计、施工和验收过程简况、环境影响报告书（表）及其审批部门审批决定中提出的除环境保护设施外的其他环境保护对策措施的实施情况，以及整改工作情况等。现将建设单位需要说明的具体内容和要求列举如下：</w:t>
      </w:r>
    </w:p>
    <w:p w14:paraId="37916CE9">
      <w:pPr>
        <w:keepNext w:val="0"/>
        <w:keepLines w:val="0"/>
        <w:pageBreakBefore w:val="0"/>
        <w:kinsoku/>
        <w:wordWrap/>
        <w:overflowPunct/>
        <w:topLinePunct w:val="0"/>
        <w:bidi w:val="0"/>
        <w:spacing w:line="560" w:lineRule="exact"/>
        <w:textAlignment w:val="auto"/>
        <w:outlineLvl w:val="9"/>
        <w:rPr>
          <w:rFonts w:hint="default" w:ascii="Times New Roman" w:hAnsi="Times New Roman" w:cs="Times New Roman" w:eastAsiaTheme="minorEastAsia"/>
          <w:b/>
          <w:sz w:val="28"/>
          <w:szCs w:val="28"/>
        </w:rPr>
      </w:pPr>
      <w:r>
        <w:rPr>
          <w:rFonts w:hint="default" w:ascii="Times New Roman" w:hAnsi="Times New Roman" w:cs="Times New Roman" w:eastAsiaTheme="minorEastAsia"/>
          <w:b/>
          <w:sz w:val="28"/>
          <w:szCs w:val="28"/>
          <w:lang w:val="en-US" w:eastAsia="zh-CN"/>
        </w:rPr>
        <w:t xml:space="preserve">1 </w:t>
      </w:r>
      <w:r>
        <w:rPr>
          <w:rFonts w:hint="default" w:ascii="Times New Roman" w:hAnsi="Times New Roman" w:cs="Times New Roman" w:eastAsiaTheme="minorEastAsia"/>
          <w:b/>
          <w:sz w:val="28"/>
          <w:szCs w:val="28"/>
        </w:rPr>
        <w:t>环境保护设施设计、施工和验收过程简况</w:t>
      </w:r>
    </w:p>
    <w:p w14:paraId="542E3359">
      <w:pPr>
        <w:keepNext w:val="0"/>
        <w:keepLines w:val="0"/>
        <w:pageBreakBefore w:val="0"/>
        <w:kinsoku/>
        <w:wordWrap/>
        <w:overflowPunct/>
        <w:topLinePunct w:val="0"/>
        <w:bidi w:val="0"/>
        <w:spacing w:line="560" w:lineRule="exact"/>
        <w:ind w:firstLine="560"/>
        <w:textAlignment w:val="auto"/>
        <w:outlineLvl w:val="9"/>
        <w:rPr>
          <w:rFonts w:hint="default"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1.1 项目</w:t>
      </w:r>
      <w:r>
        <w:rPr>
          <w:rFonts w:hint="default" w:ascii="Times New Roman" w:hAnsi="Times New Roman" w:cs="Times New Roman" w:eastAsiaTheme="minorEastAsia"/>
          <w:b/>
          <w:sz w:val="28"/>
          <w:szCs w:val="28"/>
        </w:rPr>
        <w:t>设计简况</w:t>
      </w:r>
      <w:r>
        <w:rPr>
          <w:rFonts w:hint="default" w:ascii="Times New Roman" w:hAnsi="Times New Roman" w:cs="Times New Roman" w:eastAsiaTheme="minorEastAsia"/>
          <w:b/>
          <w:sz w:val="28"/>
          <w:szCs w:val="28"/>
          <w:lang w:val="en-US" w:eastAsia="zh-CN"/>
        </w:rPr>
        <w:t xml:space="preserve"> </w:t>
      </w:r>
    </w:p>
    <w:p w14:paraId="4662360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本</w:t>
      </w:r>
      <w:r>
        <w:rPr>
          <w:rFonts w:hint="default" w:ascii="Times New Roman" w:hAnsi="Times New Roman" w:cs="Times New Roman" w:eastAsiaTheme="minorEastAsia"/>
          <w:sz w:val="24"/>
          <w:szCs w:val="24"/>
          <w:lang w:val="en-US" w:eastAsia="zh-CN"/>
        </w:rPr>
        <w:t>项目的环境保护设</w:t>
      </w:r>
      <w:r>
        <w:rPr>
          <w:rFonts w:hint="default" w:ascii="Times New Roman" w:hAnsi="Times New Roman" w:cs="Times New Roman" w:eastAsiaTheme="minorEastAsia"/>
          <w:color w:val="auto"/>
          <w:sz w:val="24"/>
          <w:szCs w:val="24"/>
          <w:lang w:val="en-US" w:eastAsia="zh-CN"/>
        </w:rPr>
        <w:t>施</w:t>
      </w:r>
      <w:r>
        <w:rPr>
          <w:rFonts w:hint="eastAsia" w:ascii="Times New Roman" w:hAnsi="Times New Roman" w:cs="Times New Roman" w:eastAsiaTheme="minorEastAsia"/>
          <w:color w:val="auto"/>
          <w:sz w:val="24"/>
          <w:szCs w:val="24"/>
          <w:lang w:val="en-US" w:eastAsia="zh-CN"/>
        </w:rPr>
        <w:t>已</w:t>
      </w:r>
      <w:r>
        <w:rPr>
          <w:rFonts w:hint="default" w:ascii="Times New Roman" w:hAnsi="Times New Roman" w:cs="Times New Roman" w:eastAsiaTheme="minorEastAsia"/>
          <w:color w:val="auto"/>
          <w:sz w:val="24"/>
          <w:szCs w:val="24"/>
          <w:lang w:val="en-US" w:eastAsia="zh-CN"/>
        </w:rPr>
        <w:t>纳入了初</w:t>
      </w:r>
      <w:r>
        <w:rPr>
          <w:rFonts w:hint="default" w:ascii="Times New Roman" w:hAnsi="Times New Roman" w:cs="Times New Roman" w:eastAsiaTheme="minorEastAsia"/>
          <w:sz w:val="24"/>
          <w:szCs w:val="24"/>
          <w:lang w:val="en-US" w:eastAsia="zh-CN"/>
        </w:rPr>
        <w:t>步设计，环境保护设施的设计符合环境保护设计规范的要求，落实了防治污染和生态破环的措施以及环境保护设施投资概算。</w:t>
      </w:r>
    </w:p>
    <w:p w14:paraId="07BDFEA5">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1.2</w:t>
      </w:r>
      <w:r>
        <w:rPr>
          <w:rFonts w:hint="eastAsia" w:ascii="Times New Roman" w:hAnsi="Times New Roman" w:cs="Times New Roman" w:eastAsiaTheme="minorEastAsia"/>
          <w:b/>
          <w:sz w:val="28"/>
          <w:szCs w:val="28"/>
          <w:lang w:val="en-US" w:eastAsia="zh-CN"/>
        </w:rPr>
        <w:t xml:space="preserve"> 项目</w:t>
      </w:r>
      <w:r>
        <w:rPr>
          <w:rFonts w:hint="default" w:ascii="Times New Roman" w:hAnsi="Times New Roman" w:cs="Times New Roman" w:eastAsiaTheme="minorEastAsia"/>
          <w:b/>
          <w:sz w:val="28"/>
          <w:szCs w:val="28"/>
          <w:lang w:val="en-US" w:eastAsia="zh-CN"/>
        </w:rPr>
        <w:t>施工简况</w:t>
      </w:r>
      <w:r>
        <w:rPr>
          <w:rFonts w:hint="eastAsia" w:ascii="Times New Roman" w:hAnsi="Times New Roman" w:cs="Times New Roman" w:eastAsiaTheme="minorEastAsia"/>
          <w:b/>
          <w:sz w:val="28"/>
          <w:szCs w:val="28"/>
          <w:lang w:val="en-US" w:eastAsia="zh-CN"/>
        </w:rPr>
        <w:t xml:space="preserve"> </w:t>
      </w:r>
    </w:p>
    <w:p w14:paraId="092A49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本项目已将环境保护设施纳入了施工合同，环境保护设施的建设进度和资金得到了保证，项目建设过程中组织实施了环境影响报告表及其审批部门审批决定中提出的环境保护对策措施。</w:t>
      </w:r>
    </w:p>
    <w:p w14:paraId="3AF6AE18">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1.3</w:t>
      </w:r>
      <w:r>
        <w:rPr>
          <w:rFonts w:hint="eastAsia" w:ascii="Times New Roman" w:hAnsi="Times New Roman" w:cs="Times New Roman" w:eastAsiaTheme="minorEastAsia"/>
          <w:b/>
          <w:sz w:val="28"/>
          <w:szCs w:val="28"/>
          <w:lang w:val="en-US" w:eastAsia="zh-CN"/>
        </w:rPr>
        <w:t xml:space="preserve"> 项目</w:t>
      </w:r>
      <w:r>
        <w:rPr>
          <w:rFonts w:hint="default" w:ascii="Times New Roman" w:hAnsi="Times New Roman" w:cs="Times New Roman" w:eastAsiaTheme="minorEastAsia"/>
          <w:b/>
          <w:sz w:val="28"/>
          <w:szCs w:val="28"/>
          <w:lang w:val="en-US" w:eastAsia="zh-CN"/>
        </w:rPr>
        <w:t>验收过程简况</w:t>
      </w:r>
      <w:r>
        <w:rPr>
          <w:rFonts w:hint="eastAsia" w:ascii="Times New Roman" w:hAnsi="Times New Roman" w:cs="Times New Roman" w:eastAsiaTheme="minorEastAsia"/>
          <w:b/>
          <w:sz w:val="28"/>
          <w:szCs w:val="28"/>
          <w:lang w:val="en-US" w:eastAsia="zh-CN"/>
        </w:rPr>
        <w:t xml:space="preserve"> </w:t>
      </w:r>
    </w:p>
    <w:p w14:paraId="19BFAF2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山东云信铝业科技有限公司是宝武镁业科技股份有限公司出资51%和信发集团出资49%共同组建的新公司。山东云信铝业科技有限公司（简称“云信铝业”）于2019年9月在茌平区行政审批服务局注册成立，注册资本：贰亿叁仟伍佰万元整，主要从事铝合金、中间合金、铝挤压产品、来料加工装配及相关材料的研发、生产、销售及以上产品相关废料的回收、销售；进出口业务。本次主要对山东云信铝业科技有限公司年产10万吨铝中间合金项目（一期）进行验收检测，主要建设4条其他铝中间合金生产线、2条铝钛硼合金生产线、2 条铝锶合金生产线、1 条铝渣处理系统、公用工程、辅助工程、环保工程等，项目建成后可实现年产10万吨铝中间合金的生产能力。</w:t>
      </w:r>
    </w:p>
    <w:p w14:paraId="27184C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 xml:space="preserve">2020年，建设单位委托编制了“年产10万吨铝中间合金项目环境影响评价报告书”， </w:t>
      </w:r>
    </w:p>
    <w:p w14:paraId="586537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 xml:space="preserve">2020年07月15日聊城市茌平区行政审批服务局对该项目环境影响报告书予以批复，批复文号为：茌行审投资环审[2020]11 号。该项目设计建设内容为：建设 2 座标准化厂房、 1 座集控楼和其他配套设施，建设3条铝钛硼生产线、3条铝锶生产线及4条其他铝中间合金生产线。 </w:t>
      </w:r>
    </w:p>
    <w:p w14:paraId="413F58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2022年01月03日，公司组织召开了年产10万吨铝中间合金项目（一期）竣工环境保护验收会，对 4 条其他铝中间合金生产线进行了自主验收。</w:t>
      </w:r>
    </w:p>
    <w:p w14:paraId="4079E3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根据聊城市环境保护局《关于印发聊城市环境保护局审批环境影响评价文件的建设项目目录（2018 年本）的通知》（聊环发[2018]44 号）、《聊城市人民政府关于实施扩权强县改革下放一批行政权力事项的通知》（聊政发[2019]9 号），“年产10万吨铝中间合金项目”属于有色金属合金制造业，按照分级审批原则及上述文件的要求，应由聊城市行政审批服务局负责审批，因此需要重新报批环评。</w:t>
      </w:r>
    </w:p>
    <w:p w14:paraId="1B38F01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2024年10月，山东云信铝业科技有限公司委托山东民通环境安全科技有限公司编制《山东云信铝业科技有限公司年产10万吨铝中间合金项目环境影响报告书》，2024年12月16日聊城市行政审批服务局以聊行审投资〔2024〕116号文对该项目进行了批复。本项目已建成，其中：5 万吨其他铝中间合金已按照原聊城市茌平区行政审批服务局的批复进行了竣工环保验收，3.5 万吨铝钛硼、1.5 万铝锶已分别建设完成 2 条生产线，尚有2条生产线未建设。</w:t>
      </w:r>
    </w:p>
    <w:p w14:paraId="52E936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2025年5月，山东云信铝业科技有限公司委托山东玖玺环保科技有限公司于2025年05月06日、05月07日、05月08日、05月09日对山东云信铝业科技有限公司年产10万吨铝中间合金项目（一期）进行了验收检测。后期对检测数据进行分析论证，在此基础上完成了项目竣工环境保护验收监测报告表的编制。本次项目验收范围为年产10万吨铝中间合金项目（一期）工程。2025年05月山东云信铝业科技有限公司委托山东玖玺环保科技有限公司对山东云信铝业科技有限公司年产10万吨铝中间合金项目（一期）进行自主验收并验收通过。2025年05月18日山东云信铝业科技有限公司组织召开了山东云信铝业科技有限公司年产10万吨铝中间合金项目（一期）竣工环境保护验收现场检查会并会议通过</w:t>
      </w:r>
      <w:r>
        <w:rPr>
          <w:rFonts w:hint="eastAsia" w:ascii="Times New Roman" w:hAnsi="Times New Roman" w:eastAsia="宋体"/>
          <w:color w:val="auto"/>
          <w:sz w:val="24"/>
          <w:szCs w:val="24"/>
          <w:highlight w:val="none"/>
          <w:lang w:eastAsia="zh-CN"/>
        </w:rPr>
        <w:t>。</w:t>
      </w:r>
    </w:p>
    <w:p w14:paraId="7BF93B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验收结论为：</w:t>
      </w:r>
      <w:r>
        <w:rPr>
          <w:rFonts w:hint="eastAsia" w:ascii="Times New Roman" w:hAnsi="Times New Roman" w:eastAsia="宋体" w:cs="Times New Roman"/>
          <w:color w:val="auto"/>
          <w:sz w:val="24"/>
          <w:szCs w:val="24"/>
          <w:highlight w:val="none"/>
          <w:lang w:eastAsia="zh-CN"/>
        </w:rPr>
        <w:t>山东云信铝业科技有限公司</w:t>
      </w:r>
      <w:r>
        <w:rPr>
          <w:rFonts w:hint="eastAsia" w:ascii="Times New Roman" w:hAnsi="Times New Roman" w:cs="Times New Roman" w:eastAsiaTheme="minorEastAsia"/>
          <w:sz w:val="24"/>
          <w:szCs w:val="24"/>
          <w:lang w:val="en-US" w:eastAsia="zh-CN"/>
        </w:rPr>
        <w:t>在项目实施过程中按照环评及其批复要求落实了相关环保措施，项目建设过程未发生重大变动；验收监测的污染物排放达到国家相关排放标准，验收报告不存在重大质量缺陷。鉴于项目基本符合验收条件，不存在《建设项目竣工环境保护验收暂行办法》中所规定的验收不合格情形</w:t>
      </w:r>
      <w:r>
        <w:rPr>
          <w:rFonts w:hint="eastAsia" w:ascii="Times New Roman" w:hAnsi="Times New Roman" w:cs="Times New Roman" w:eastAsiaTheme="minorEastAsia"/>
          <w:sz w:val="24"/>
          <w:szCs w:val="24"/>
          <w:highlight w:val="none"/>
          <w:lang w:val="en-US" w:eastAsia="zh-CN"/>
        </w:rPr>
        <w:t>，于2025年05月18日</w:t>
      </w:r>
      <w:r>
        <w:rPr>
          <w:rFonts w:hint="eastAsia" w:ascii="Times New Roman" w:hAnsi="Times New Roman" w:cs="Times New Roman" w:eastAsiaTheme="minorEastAsia"/>
          <w:sz w:val="24"/>
          <w:szCs w:val="24"/>
          <w:lang w:val="en-US" w:eastAsia="zh-CN"/>
        </w:rPr>
        <w:t>验收工作组原则上同意该项目环保设施通过环保验收。</w:t>
      </w:r>
    </w:p>
    <w:p w14:paraId="322581A2">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eastAsia" w:ascii="Times New Roman" w:hAnsi="Times New Roman" w:cs="Times New Roman" w:eastAsiaTheme="minorEastAsia"/>
          <w:b/>
          <w:sz w:val="28"/>
          <w:szCs w:val="28"/>
          <w:lang w:val="en-US" w:eastAsia="zh-CN"/>
        </w:rPr>
        <w:t xml:space="preserve">1.4 公众反馈意见及处理情况 </w:t>
      </w:r>
    </w:p>
    <w:p w14:paraId="1609FF5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建设项目设计、施工和验收期间未收到过公众反馈意见或投诉、反馈或投诉的内容。</w:t>
      </w:r>
    </w:p>
    <w:p w14:paraId="322D57DF">
      <w:pPr>
        <w:keepNext w:val="0"/>
        <w:keepLines w:val="0"/>
        <w:pageBreakBefore w:val="0"/>
        <w:kinsoku/>
        <w:wordWrap/>
        <w:overflowPunct/>
        <w:topLinePunct w:val="0"/>
        <w:bidi w:val="0"/>
        <w:spacing w:line="560" w:lineRule="exact"/>
        <w:textAlignment w:val="auto"/>
        <w:outlineLvl w:val="9"/>
        <w:rPr>
          <w:rFonts w:hint="eastAsia"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2</w:t>
      </w:r>
      <w:r>
        <w:rPr>
          <w:rFonts w:hint="eastAsia" w:ascii="Times New Roman" w:hAnsi="Times New Roman" w:cs="Times New Roman" w:eastAsiaTheme="minorEastAsia"/>
          <w:b/>
          <w:sz w:val="28"/>
          <w:szCs w:val="28"/>
          <w:lang w:val="en-US" w:eastAsia="zh-CN"/>
        </w:rPr>
        <w:t xml:space="preserve"> </w:t>
      </w:r>
      <w:r>
        <w:rPr>
          <w:rFonts w:hint="default" w:ascii="Times New Roman" w:hAnsi="Times New Roman" w:cs="Times New Roman" w:eastAsiaTheme="minorEastAsia"/>
          <w:b/>
          <w:sz w:val="28"/>
          <w:szCs w:val="28"/>
          <w:lang w:val="en-US" w:eastAsia="zh-CN"/>
        </w:rPr>
        <w:t>其他环境保护措施的实施情况</w:t>
      </w:r>
      <w:r>
        <w:rPr>
          <w:rFonts w:hint="eastAsia" w:ascii="Times New Roman" w:hAnsi="Times New Roman" w:cs="Times New Roman" w:eastAsiaTheme="minorEastAsia"/>
          <w:b/>
          <w:sz w:val="28"/>
          <w:szCs w:val="28"/>
          <w:lang w:val="en-US" w:eastAsia="zh-CN"/>
        </w:rPr>
        <w:t xml:space="preserve"> </w:t>
      </w:r>
    </w:p>
    <w:p w14:paraId="1C1A3A1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环境影响报告书（表）及其审批部门审批决定中提出的，除环境保护设施外的其他环境保护措施，主要包括制度措施和配套措施等，现将需要说明的措施内容和要求梳理如下：</w:t>
      </w:r>
    </w:p>
    <w:p w14:paraId="4BFDC137">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2.1</w:t>
      </w:r>
      <w:r>
        <w:rPr>
          <w:rFonts w:hint="eastAsia" w:ascii="Times New Roman" w:hAnsi="Times New Roman" w:cs="Times New Roman" w:eastAsiaTheme="minorEastAsia"/>
          <w:b/>
          <w:sz w:val="28"/>
          <w:szCs w:val="28"/>
          <w:lang w:val="en-US" w:eastAsia="zh-CN"/>
        </w:rPr>
        <w:t xml:space="preserve"> </w:t>
      </w:r>
      <w:r>
        <w:rPr>
          <w:rFonts w:hint="default" w:ascii="Times New Roman" w:hAnsi="Times New Roman" w:cs="Times New Roman" w:eastAsiaTheme="minorEastAsia"/>
          <w:b/>
          <w:sz w:val="28"/>
          <w:szCs w:val="28"/>
          <w:lang w:val="en-US" w:eastAsia="zh-CN"/>
        </w:rPr>
        <w:t>制度措施落实情况</w:t>
      </w:r>
      <w:r>
        <w:rPr>
          <w:rFonts w:hint="eastAsia" w:ascii="Times New Roman" w:hAnsi="Times New Roman" w:cs="Times New Roman" w:eastAsiaTheme="minorEastAsia"/>
          <w:b/>
          <w:sz w:val="28"/>
          <w:szCs w:val="28"/>
          <w:lang w:val="en-US" w:eastAsia="zh-CN"/>
        </w:rPr>
        <w:t xml:space="preserve"> </w:t>
      </w:r>
    </w:p>
    <w:p w14:paraId="77E885E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（1）环保组织机构及规章制度</w:t>
      </w:r>
    </w:p>
    <w:p w14:paraId="063CEF7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本公司己建立环保组织机构及规章制度。本公司成立了环境保护工作组</w:t>
      </w:r>
      <w:r>
        <w:rPr>
          <w:rFonts w:hint="eastAsia" w:ascii="Times New Roman" w:hAnsi="Times New Roman" w:cs="Times New Roman" w:eastAsiaTheme="minorEastAsia"/>
          <w:sz w:val="24"/>
          <w:szCs w:val="24"/>
          <w:lang w:val="en-US" w:eastAsia="zh-CN"/>
        </w:rPr>
        <w:t>：</w:t>
      </w:r>
    </w:p>
    <w:p w14:paraId="56806DC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组长</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负责企业环保全面工作，是企业环保的第一责任人。</w:t>
      </w:r>
    </w:p>
    <w:p w14:paraId="04C7BAF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副组长</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负责企业环保工作的日常监督管理，负责环保相关信息搜索、培训、宣传及执行；负责厂区环境安全卫生的日常维护；负责车间生产环境卫生的控制，用电的控制；负责相关环保设备设施的维护及日常运转。负责固废的外运和处理及必要的环保设备的购置。</w:t>
      </w:r>
    </w:p>
    <w:p w14:paraId="73ABA46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本公司针对各项环保设施制订了运行维护管理制度、设施操作规程。</w:t>
      </w:r>
    </w:p>
    <w:p w14:paraId="536EE04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（2）环境风险防范措施</w:t>
      </w:r>
    </w:p>
    <w:p w14:paraId="662D77C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（1）日常管理</w:t>
      </w:r>
    </w:p>
    <w:p w14:paraId="33CF982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①在管理上设置专业安全卫生监督机构，建立严格的规章制度和安全生产措施，所有工作人员必须培训上岗，绝不容许引入不安全因素到生产作业中去。</w:t>
      </w:r>
    </w:p>
    <w:p w14:paraId="488B1EC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②加强监测，杜绝意外泄漏事故造成的危害。在厂区布置有毒、有害、可燃气体探测器，进行不间断监测，防止物料的泄漏。</w:t>
      </w:r>
    </w:p>
    <w:p w14:paraId="3B6DD2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③采用密封性能良好的阀门、泵等设备和配件；在防爆区域内使用的电气等设备，均需采用相应防爆等级的防爆产品。</w:t>
      </w:r>
    </w:p>
    <w:p w14:paraId="000C10E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④生产车间和仓库均设禁止吸烟标志，防止人为吸烟引起明火火灾等事故。</w:t>
      </w:r>
    </w:p>
    <w:p w14:paraId="074EFF0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⑤同时，在具有爆炸危险的区域内，所有的电器设备均采用防爆型设备，设备和管道设有防雷防静电接地设施；汽车运输车设有链条接地；落实现场人员的劳动保护措施；严格执行有关的操作运行规章制度，在各岗位设置警示标牌。</w:t>
      </w:r>
    </w:p>
    <w:p w14:paraId="22F48FE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⑥公司应设置专职消防队伍，火灾时有可依靠的消防力量。</w:t>
      </w:r>
    </w:p>
    <w:p w14:paraId="74501E6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⑦消防水源要充足，消防车道要畅通，场地应平坦。成品及原料仓库内要安装消防专用电话或报警设备。</w:t>
      </w:r>
    </w:p>
    <w:p w14:paraId="0466E03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⑧建立三级防控体系。一旦发生风险事故，消防废水导入事故水池暂存，确保废水不出厂。</w:t>
      </w:r>
    </w:p>
    <w:p w14:paraId="7986BC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（2）油类物质、天然气风险防范措施</w:t>
      </w:r>
    </w:p>
    <w:p w14:paraId="4189C56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根据造成油类物质、天然气火灾或爆炸事故发生的条件，其防范措施主要通过防止泄漏、控制热源和规范管理等三方面来实现，具体措施为：</w:t>
      </w:r>
    </w:p>
    <w:p w14:paraId="5E9BA8F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①厂区内的天然气输送系统需委托专业公司进行安装和铺设，尤其各连接法兰及阀门务必保证良好的气密性。</w:t>
      </w:r>
    </w:p>
    <w:p w14:paraId="643207B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②按相关规定划分危险区，本项目主要为危废库、生产车间，在危险区内的电器设备，按《爆炸和火灾危险环境电力装置设计规范》的要求选用相应的防爆电器仪表，防爆等级不低于相应设计规范的要求。</w:t>
      </w:r>
    </w:p>
    <w:p w14:paraId="177F173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③厂区消防设计执行《建筑设计防火规范》、《低倍数泡沫灭火系统设计规范》和《建筑灭火器配置设计规范》要求。</w:t>
      </w:r>
    </w:p>
    <w:p w14:paraId="0A57A1D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④建议在厂区内可能有气体泄漏的关键点安装检测器及感温感烟火灾报警器。</w:t>
      </w:r>
    </w:p>
    <w:p w14:paraId="005B7A4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⑤工作人员严禁携带火柴、打火机等火种进入生产区内，生产区内严禁吸烟。</w:t>
      </w:r>
    </w:p>
    <w:p w14:paraId="5EFBE9A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⑥加强对输送管道的日常管理和检修。定期对输气管道、阀门和连接法兰等容易发生泄漏的部位进行检查，发现轻微泄漏事故或怀疑有泄漏时，应立即进行维修。</w:t>
      </w:r>
    </w:p>
    <w:p w14:paraId="557D5E8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⑦公司应定期对消防设施、消防器材和灭火剂进行检查。灭火剂应每年全面化验1次，并定期更换。消防水枪、水龙带应半年检查保养 1 次。</w:t>
      </w:r>
    </w:p>
    <w:p w14:paraId="20F5752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⑧管道沿线应标志清晰，巡线员定期巡线，发现危及管道安全的情况及时处理和汇报。</w:t>
      </w:r>
    </w:p>
    <w:p w14:paraId="46B92A1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⑨根据《石油天然气管道安全规程》 的规定，公司应制定定期检验计划，除日常巡检外，1 年至少 1 次外部检验，由专职人员进行；全面检验每五年一次，由中国石油质量主管部门认可的专业检验单位承担。</w:t>
      </w:r>
    </w:p>
    <w:p w14:paraId="7408D68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综上所述，建设单位在运营期间应落实环境风险控制措施，使环境风险降低到可接受水平；若管道穿孔或破裂，天然气发生泄漏，建设单位应及时启动应急预案，将环境风险事故的影响降到最低程度</w:t>
      </w:r>
    </w:p>
    <w:p w14:paraId="10EBA23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（3）安全管理措施</w:t>
      </w:r>
    </w:p>
    <w:p w14:paraId="11A3B9F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设置安全管理机构，建立安全管理制度，加强人员培训，预防安全事故发生。</w:t>
      </w:r>
    </w:p>
    <w:p w14:paraId="6C78E3B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（4）应急预案</w:t>
      </w:r>
    </w:p>
    <w:p w14:paraId="793137E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lang w:val="en-US" w:eastAsia="zh-CN"/>
        </w:rPr>
      </w:pPr>
      <w:r>
        <w:rPr>
          <w:rFonts w:hint="eastAsia" w:ascii="Times New Roman" w:hAnsi="Times New Roman" w:cs="Times New Roman" w:eastAsiaTheme="minorEastAsia"/>
          <w:sz w:val="24"/>
          <w:szCs w:val="24"/>
          <w:lang w:val="en-US" w:eastAsia="zh-CN"/>
        </w:rPr>
        <w:t>制定事故应急救援预案，从组织机构、救援保障、报警通讯、应急监测及救护保障、应急处理措施、事故原因调查分析等方面制定严格的制度，并定期组织培训、演练。</w:t>
      </w:r>
    </w:p>
    <w:p w14:paraId="685B913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5</w:t>
      </w:r>
      <w:r>
        <w:rPr>
          <w:rFonts w:hint="default" w:ascii="Times New Roman" w:hAnsi="Times New Roman" w:cs="Times New Roman" w:eastAsiaTheme="minorEastAsia"/>
          <w:sz w:val="24"/>
          <w:szCs w:val="24"/>
          <w:lang w:val="en-US" w:eastAsia="zh-CN"/>
        </w:rPr>
        <w:t>）环境监测计划</w:t>
      </w:r>
    </w:p>
    <w:p w14:paraId="185EDEE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根据环境影响报告书（表）及其审批部门审批决定要求以及《排污单位自</w:t>
      </w:r>
      <w:bookmarkStart w:id="0" w:name="_GoBack"/>
      <w:bookmarkEnd w:id="0"/>
      <w:r>
        <w:rPr>
          <w:rFonts w:hint="eastAsia" w:ascii="Times New Roman" w:hAnsi="Times New Roman" w:cs="Times New Roman" w:eastAsiaTheme="minorEastAsia"/>
          <w:sz w:val="24"/>
          <w:szCs w:val="24"/>
          <w:lang w:val="en-US" w:eastAsia="zh-CN"/>
        </w:rPr>
        <w:t>行监测技术指南总则》（</w:t>
      </w:r>
      <w:r>
        <w:rPr>
          <w:rFonts w:hint="default" w:ascii="Times New Roman" w:hAnsi="Times New Roman" w:cs="Times New Roman" w:eastAsiaTheme="minorEastAsia"/>
          <w:sz w:val="24"/>
          <w:szCs w:val="24"/>
          <w:lang w:val="en-US" w:eastAsia="zh-CN"/>
        </w:rPr>
        <w:t>HJ 819-2017</w:t>
      </w:r>
      <w:r>
        <w:rPr>
          <w:rFonts w:hint="eastAsia" w:ascii="Times New Roman" w:hAnsi="Times New Roman" w:cs="Times New Roman" w:eastAsiaTheme="minorEastAsia"/>
          <w:sz w:val="24"/>
          <w:szCs w:val="24"/>
          <w:lang w:val="en-US" w:eastAsia="zh-CN"/>
        </w:rPr>
        <w:t xml:space="preserve">）表 </w:t>
      </w:r>
      <w:r>
        <w:rPr>
          <w:rFonts w:hint="default" w:ascii="Times New Roman" w:hAnsi="Times New Roman" w:cs="Times New Roman" w:eastAsiaTheme="minorEastAsia"/>
          <w:sz w:val="24"/>
          <w:szCs w:val="24"/>
          <w:lang w:val="en-US" w:eastAsia="zh-CN"/>
        </w:rPr>
        <w:t xml:space="preserve">1 </w:t>
      </w:r>
      <w:r>
        <w:rPr>
          <w:rFonts w:hint="eastAsia" w:ascii="Times New Roman" w:hAnsi="Times New Roman" w:cs="Times New Roman" w:eastAsiaTheme="minorEastAsia"/>
          <w:sz w:val="24"/>
          <w:szCs w:val="24"/>
          <w:lang w:val="en-US" w:eastAsia="zh-CN"/>
        </w:rPr>
        <w:t xml:space="preserve">非重点排污单位、其他排放口的监测指标自行监测要求，本 项目自行监测计划见下表： </w:t>
      </w:r>
    </w:p>
    <w:p w14:paraId="1EF201A3">
      <w:pPr>
        <w:pStyle w:val="2"/>
        <w:rPr>
          <w:rFonts w:hint="default"/>
          <w:lang w:val="en-US" w:eastAsia="zh-CN"/>
        </w:rPr>
      </w:pPr>
    </w:p>
    <w:p w14:paraId="32F6BF9F">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highlight w:val="none"/>
        </w:rPr>
      </w:pPr>
      <w:r>
        <w:rPr>
          <w:rFonts w:hint="eastAsia" w:ascii="宋体" w:hAnsi="宋体" w:eastAsia="宋体" w:cs="宋体"/>
          <w:b/>
          <w:bCs/>
          <w:color w:val="000000"/>
          <w:kern w:val="0"/>
          <w:sz w:val="24"/>
          <w:szCs w:val="24"/>
          <w:highlight w:val="none"/>
          <w:lang w:val="en-US" w:eastAsia="zh-CN" w:bidi="ar"/>
        </w:rPr>
        <w:t>项目自行监测计划一览表</w:t>
      </w:r>
    </w:p>
    <w:tbl>
      <w:tblPr>
        <w:tblStyle w:val="18"/>
        <w:tblW w:w="868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88"/>
        <w:gridCol w:w="2940"/>
        <w:gridCol w:w="1885"/>
        <w:gridCol w:w="2172"/>
      </w:tblGrid>
      <w:tr w14:paraId="03414A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88" w:type="dxa"/>
            <w:tcBorders>
              <w:tl2br w:val="nil"/>
              <w:tr2bl w:val="nil"/>
            </w:tcBorders>
            <w:vAlign w:val="center"/>
          </w:tcPr>
          <w:p w14:paraId="47962071">
            <w:pPr>
              <w:keepNext w:val="0"/>
              <w:keepLines w:val="0"/>
              <w:widowControl/>
              <w:suppressLineNumbers w:val="0"/>
              <w:jc w:val="center"/>
              <w:rPr>
                <w:rFonts w:hint="default" w:ascii="Times New Roman" w:hAnsi="Times New Roman" w:cs="Times New Roman" w:eastAsiaTheme="minorEastAsia"/>
                <w:sz w:val="21"/>
                <w:szCs w:val="21"/>
                <w:highlight w:val="none"/>
                <w:vertAlign w:val="baseline"/>
                <w:lang w:val="en-US" w:eastAsia="zh-CN"/>
              </w:rPr>
            </w:pPr>
            <w:r>
              <w:rPr>
                <w:rFonts w:hint="eastAsia" w:ascii="宋体" w:hAnsi="宋体" w:eastAsia="宋体" w:cs="宋体"/>
                <w:b/>
                <w:bCs/>
                <w:color w:val="000000"/>
                <w:kern w:val="0"/>
                <w:sz w:val="21"/>
                <w:szCs w:val="21"/>
                <w:highlight w:val="none"/>
                <w:lang w:val="en-US" w:eastAsia="zh-CN" w:bidi="ar"/>
              </w:rPr>
              <w:t>监测点位</w:t>
            </w:r>
          </w:p>
        </w:tc>
        <w:tc>
          <w:tcPr>
            <w:tcW w:w="2940" w:type="dxa"/>
            <w:tcBorders>
              <w:tl2br w:val="nil"/>
              <w:tr2bl w:val="nil"/>
            </w:tcBorders>
            <w:vAlign w:val="center"/>
          </w:tcPr>
          <w:p w14:paraId="25331526">
            <w:pPr>
              <w:keepNext w:val="0"/>
              <w:keepLines w:val="0"/>
              <w:widowControl/>
              <w:suppressLineNumbers w:val="0"/>
              <w:jc w:val="center"/>
              <w:rPr>
                <w:rFonts w:hint="default" w:ascii="Times New Roman" w:hAnsi="Times New Roman" w:cs="Times New Roman" w:eastAsiaTheme="minorEastAsia"/>
                <w:sz w:val="21"/>
                <w:szCs w:val="21"/>
                <w:highlight w:val="none"/>
                <w:vertAlign w:val="baseline"/>
                <w:lang w:val="en-US" w:eastAsia="zh-CN"/>
              </w:rPr>
            </w:pPr>
            <w:r>
              <w:rPr>
                <w:rFonts w:hint="eastAsia" w:ascii="宋体" w:hAnsi="宋体" w:eastAsia="宋体" w:cs="宋体"/>
                <w:b/>
                <w:bCs/>
                <w:color w:val="000000"/>
                <w:kern w:val="0"/>
                <w:sz w:val="21"/>
                <w:szCs w:val="21"/>
                <w:highlight w:val="none"/>
                <w:lang w:val="en-US" w:eastAsia="zh-CN" w:bidi="ar"/>
              </w:rPr>
              <w:t>检测因子</w:t>
            </w:r>
          </w:p>
        </w:tc>
        <w:tc>
          <w:tcPr>
            <w:tcW w:w="1885" w:type="dxa"/>
            <w:tcBorders>
              <w:tl2br w:val="nil"/>
              <w:tr2bl w:val="nil"/>
            </w:tcBorders>
            <w:vAlign w:val="center"/>
          </w:tcPr>
          <w:p w14:paraId="473EBF7C">
            <w:pPr>
              <w:keepNext w:val="0"/>
              <w:keepLines w:val="0"/>
              <w:widowControl/>
              <w:suppressLineNumbers w:val="0"/>
              <w:jc w:val="center"/>
              <w:rPr>
                <w:rFonts w:hint="default" w:ascii="Times New Roman" w:hAnsi="Times New Roman" w:cs="Times New Roman" w:eastAsiaTheme="minorEastAsia"/>
                <w:sz w:val="21"/>
                <w:szCs w:val="21"/>
                <w:highlight w:val="none"/>
                <w:vertAlign w:val="baseline"/>
                <w:lang w:val="en-US" w:eastAsia="zh-CN"/>
              </w:rPr>
            </w:pPr>
            <w:r>
              <w:rPr>
                <w:rFonts w:hint="eastAsia" w:ascii="宋体" w:hAnsi="宋体" w:eastAsia="宋体" w:cs="宋体"/>
                <w:b/>
                <w:bCs/>
                <w:color w:val="000000"/>
                <w:kern w:val="0"/>
                <w:sz w:val="21"/>
                <w:szCs w:val="21"/>
                <w:highlight w:val="none"/>
                <w:lang w:val="en-US" w:eastAsia="zh-CN" w:bidi="ar"/>
              </w:rPr>
              <w:t>监测频次</w:t>
            </w:r>
          </w:p>
        </w:tc>
        <w:tc>
          <w:tcPr>
            <w:tcW w:w="2172" w:type="dxa"/>
            <w:tcBorders>
              <w:tl2br w:val="nil"/>
              <w:tr2bl w:val="nil"/>
            </w:tcBorders>
            <w:vAlign w:val="center"/>
          </w:tcPr>
          <w:p w14:paraId="049BBB25">
            <w:pPr>
              <w:keepNext w:val="0"/>
              <w:keepLines w:val="0"/>
              <w:widowControl/>
              <w:suppressLineNumbers w:val="0"/>
              <w:jc w:val="center"/>
              <w:rPr>
                <w:rFonts w:hint="default" w:ascii="Times New Roman" w:hAnsi="Times New Roman" w:cs="Times New Roman" w:eastAsiaTheme="minorEastAsia"/>
                <w:sz w:val="21"/>
                <w:szCs w:val="21"/>
                <w:highlight w:val="none"/>
                <w:vertAlign w:val="baseline"/>
                <w:lang w:val="en-US" w:eastAsia="zh-CN"/>
              </w:rPr>
            </w:pPr>
            <w:r>
              <w:rPr>
                <w:rFonts w:hint="eastAsia" w:ascii="宋体" w:hAnsi="宋体" w:eastAsia="宋体" w:cs="宋体"/>
                <w:b/>
                <w:bCs/>
                <w:color w:val="000000"/>
                <w:kern w:val="0"/>
                <w:sz w:val="21"/>
                <w:szCs w:val="21"/>
                <w:highlight w:val="none"/>
                <w:lang w:val="en-US" w:eastAsia="zh-CN" w:bidi="ar"/>
              </w:rPr>
              <w:t>备注</w:t>
            </w:r>
          </w:p>
        </w:tc>
      </w:tr>
      <w:tr w14:paraId="1A9D3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688" w:type="dxa"/>
            <w:vMerge w:val="restart"/>
            <w:tcBorders>
              <w:tl2br w:val="nil"/>
              <w:tr2bl w:val="nil"/>
            </w:tcBorders>
            <w:vAlign w:val="center"/>
          </w:tcPr>
          <w:p w14:paraId="77E8A15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排气筒DA001</w:t>
            </w:r>
          </w:p>
        </w:tc>
        <w:tc>
          <w:tcPr>
            <w:tcW w:w="2940" w:type="dxa"/>
            <w:tcBorders>
              <w:tl2br w:val="nil"/>
              <w:tr2bl w:val="nil"/>
            </w:tcBorders>
            <w:vAlign w:val="center"/>
          </w:tcPr>
          <w:p w14:paraId="6444126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颗粒物、二氧化硫、氮氧化物</w:t>
            </w:r>
          </w:p>
        </w:tc>
        <w:tc>
          <w:tcPr>
            <w:tcW w:w="1885" w:type="dxa"/>
            <w:tcBorders>
              <w:tl2br w:val="nil"/>
              <w:tr2bl w:val="nil"/>
            </w:tcBorders>
            <w:vAlign w:val="center"/>
          </w:tcPr>
          <w:p w14:paraId="08E081D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eastAsiaTheme="minorEastAsia"/>
                <w:color w:val="auto"/>
                <w:sz w:val="21"/>
                <w:szCs w:val="21"/>
                <w:highlight w:val="none"/>
                <w:vertAlign w:val="baseline"/>
                <w:lang w:val="en-US" w:eastAsia="zh-CN"/>
              </w:rPr>
              <w:t>1次/月</w:t>
            </w:r>
          </w:p>
        </w:tc>
        <w:tc>
          <w:tcPr>
            <w:tcW w:w="2172" w:type="dxa"/>
            <w:tcBorders>
              <w:tl2br w:val="nil"/>
              <w:tr2bl w:val="nil"/>
            </w:tcBorders>
            <w:vAlign w:val="center"/>
          </w:tcPr>
          <w:p w14:paraId="7E78794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339DCC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688" w:type="dxa"/>
            <w:vMerge w:val="continue"/>
            <w:tcBorders>
              <w:tl2br w:val="nil"/>
              <w:tr2bl w:val="nil"/>
            </w:tcBorders>
            <w:vAlign w:val="center"/>
          </w:tcPr>
          <w:p w14:paraId="1AEEA9E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p>
        </w:tc>
        <w:tc>
          <w:tcPr>
            <w:tcW w:w="2940" w:type="dxa"/>
            <w:tcBorders>
              <w:tl2br w:val="nil"/>
              <w:tr2bl w:val="nil"/>
            </w:tcBorders>
            <w:vAlign w:val="center"/>
          </w:tcPr>
          <w:p w14:paraId="412CFB9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氟化物、氯化物、林格曼黑度</w:t>
            </w:r>
          </w:p>
        </w:tc>
        <w:tc>
          <w:tcPr>
            <w:tcW w:w="1885" w:type="dxa"/>
            <w:tcBorders>
              <w:tl2br w:val="nil"/>
              <w:tr2bl w:val="nil"/>
            </w:tcBorders>
            <w:vAlign w:val="center"/>
          </w:tcPr>
          <w:p w14:paraId="727CD6D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eastAsiaTheme="minorEastAsia"/>
                <w:color w:val="auto"/>
                <w:sz w:val="21"/>
                <w:szCs w:val="21"/>
                <w:highlight w:val="none"/>
                <w:vertAlign w:val="baseline"/>
                <w:lang w:val="en-US" w:eastAsia="zh-CN"/>
              </w:rPr>
              <w:t>半年/次</w:t>
            </w:r>
          </w:p>
        </w:tc>
        <w:tc>
          <w:tcPr>
            <w:tcW w:w="2172" w:type="dxa"/>
            <w:tcBorders>
              <w:tl2br w:val="nil"/>
              <w:tr2bl w:val="nil"/>
            </w:tcBorders>
            <w:vAlign w:val="center"/>
          </w:tcPr>
          <w:p w14:paraId="7C745EB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21CBA7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688" w:type="dxa"/>
            <w:tcBorders>
              <w:tl2br w:val="nil"/>
              <w:tr2bl w:val="nil"/>
            </w:tcBorders>
            <w:vAlign w:val="center"/>
          </w:tcPr>
          <w:p w14:paraId="04A75B2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排气筒DA002</w:t>
            </w:r>
          </w:p>
        </w:tc>
        <w:tc>
          <w:tcPr>
            <w:tcW w:w="2940" w:type="dxa"/>
            <w:tcBorders>
              <w:tl2br w:val="nil"/>
              <w:tr2bl w:val="nil"/>
            </w:tcBorders>
            <w:vAlign w:val="center"/>
          </w:tcPr>
          <w:p w14:paraId="7BDA168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颗粒物</w:t>
            </w:r>
          </w:p>
        </w:tc>
        <w:tc>
          <w:tcPr>
            <w:tcW w:w="1885" w:type="dxa"/>
            <w:tcBorders>
              <w:tl2br w:val="nil"/>
              <w:tr2bl w:val="nil"/>
            </w:tcBorders>
            <w:vAlign w:val="center"/>
          </w:tcPr>
          <w:p w14:paraId="2D56FBF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eastAsiaTheme="minorEastAsia"/>
                <w:color w:val="auto"/>
                <w:sz w:val="21"/>
                <w:szCs w:val="21"/>
                <w:highlight w:val="none"/>
                <w:vertAlign w:val="baseline"/>
                <w:lang w:val="en-US" w:eastAsia="zh-CN"/>
              </w:rPr>
              <w:t>半年/次</w:t>
            </w:r>
          </w:p>
        </w:tc>
        <w:tc>
          <w:tcPr>
            <w:tcW w:w="2172" w:type="dxa"/>
            <w:tcBorders>
              <w:tl2br w:val="nil"/>
              <w:tr2bl w:val="nil"/>
            </w:tcBorders>
            <w:vAlign w:val="center"/>
          </w:tcPr>
          <w:p w14:paraId="64E00E1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296D08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688" w:type="dxa"/>
            <w:vMerge w:val="restart"/>
            <w:tcBorders>
              <w:tl2br w:val="nil"/>
              <w:tr2bl w:val="nil"/>
            </w:tcBorders>
            <w:vAlign w:val="center"/>
          </w:tcPr>
          <w:p w14:paraId="7D3074F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排气筒DA003</w:t>
            </w:r>
          </w:p>
        </w:tc>
        <w:tc>
          <w:tcPr>
            <w:tcW w:w="2940" w:type="dxa"/>
            <w:tcBorders>
              <w:tl2br w:val="nil"/>
              <w:tr2bl w:val="nil"/>
            </w:tcBorders>
            <w:vAlign w:val="center"/>
          </w:tcPr>
          <w:p w14:paraId="0E0DB6C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yellow"/>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颗粒物、二氧化硫、氮氧化物</w:t>
            </w:r>
          </w:p>
        </w:tc>
        <w:tc>
          <w:tcPr>
            <w:tcW w:w="1885" w:type="dxa"/>
            <w:tcBorders>
              <w:tl2br w:val="nil"/>
              <w:tr2bl w:val="nil"/>
            </w:tcBorders>
            <w:vAlign w:val="center"/>
          </w:tcPr>
          <w:p w14:paraId="2AFC34E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eastAsiaTheme="minorEastAsia"/>
                <w:color w:val="auto"/>
                <w:sz w:val="21"/>
                <w:szCs w:val="21"/>
                <w:highlight w:val="none"/>
                <w:vertAlign w:val="baseline"/>
                <w:lang w:val="en-US" w:eastAsia="zh-CN"/>
              </w:rPr>
              <w:t>1次/月</w:t>
            </w:r>
          </w:p>
        </w:tc>
        <w:tc>
          <w:tcPr>
            <w:tcW w:w="2172" w:type="dxa"/>
            <w:tcBorders>
              <w:tl2br w:val="nil"/>
              <w:tr2bl w:val="nil"/>
            </w:tcBorders>
            <w:vAlign w:val="center"/>
          </w:tcPr>
          <w:p w14:paraId="46DDF38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41E7AD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688" w:type="dxa"/>
            <w:vMerge w:val="continue"/>
            <w:tcBorders>
              <w:tl2br w:val="nil"/>
              <w:tr2bl w:val="nil"/>
            </w:tcBorders>
            <w:vAlign w:val="center"/>
          </w:tcPr>
          <w:p w14:paraId="2771D2B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p>
        </w:tc>
        <w:tc>
          <w:tcPr>
            <w:tcW w:w="2940" w:type="dxa"/>
            <w:tcBorders>
              <w:tl2br w:val="nil"/>
              <w:tr2bl w:val="nil"/>
            </w:tcBorders>
            <w:vAlign w:val="center"/>
          </w:tcPr>
          <w:p w14:paraId="03A9882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林格曼黑度</w:t>
            </w:r>
          </w:p>
        </w:tc>
        <w:tc>
          <w:tcPr>
            <w:tcW w:w="1885" w:type="dxa"/>
            <w:tcBorders>
              <w:tl2br w:val="nil"/>
              <w:tr2bl w:val="nil"/>
            </w:tcBorders>
            <w:vAlign w:val="center"/>
          </w:tcPr>
          <w:p w14:paraId="0B1D20D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半年/次</w:t>
            </w:r>
          </w:p>
        </w:tc>
        <w:tc>
          <w:tcPr>
            <w:tcW w:w="2172" w:type="dxa"/>
            <w:tcBorders>
              <w:tl2br w:val="nil"/>
              <w:tr2bl w:val="nil"/>
            </w:tcBorders>
            <w:vAlign w:val="center"/>
          </w:tcPr>
          <w:p w14:paraId="0307591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6C3718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688" w:type="dxa"/>
            <w:vMerge w:val="restart"/>
            <w:tcBorders>
              <w:tl2br w:val="nil"/>
              <w:tr2bl w:val="nil"/>
            </w:tcBorders>
            <w:vAlign w:val="center"/>
          </w:tcPr>
          <w:p w14:paraId="1A4AE7D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排气筒DA004</w:t>
            </w:r>
          </w:p>
        </w:tc>
        <w:tc>
          <w:tcPr>
            <w:tcW w:w="2940" w:type="dxa"/>
            <w:tcBorders>
              <w:tl2br w:val="nil"/>
              <w:tr2bl w:val="nil"/>
            </w:tcBorders>
            <w:vAlign w:val="center"/>
          </w:tcPr>
          <w:p w14:paraId="57391B3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yellow"/>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颗粒物、氮氧化物</w:t>
            </w:r>
          </w:p>
        </w:tc>
        <w:tc>
          <w:tcPr>
            <w:tcW w:w="1885" w:type="dxa"/>
            <w:tcBorders>
              <w:tl2br w:val="nil"/>
              <w:tr2bl w:val="nil"/>
            </w:tcBorders>
            <w:vAlign w:val="center"/>
          </w:tcPr>
          <w:p w14:paraId="3B34145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季/次</w:t>
            </w:r>
          </w:p>
        </w:tc>
        <w:tc>
          <w:tcPr>
            <w:tcW w:w="2172" w:type="dxa"/>
            <w:tcBorders>
              <w:tl2br w:val="nil"/>
              <w:tr2bl w:val="nil"/>
            </w:tcBorders>
            <w:vAlign w:val="center"/>
          </w:tcPr>
          <w:p w14:paraId="3FCADB0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4D9607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688" w:type="dxa"/>
            <w:vMerge w:val="continue"/>
            <w:tcBorders>
              <w:tl2br w:val="nil"/>
              <w:tr2bl w:val="nil"/>
            </w:tcBorders>
            <w:vAlign w:val="center"/>
          </w:tcPr>
          <w:p w14:paraId="0BC900B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p>
        </w:tc>
        <w:tc>
          <w:tcPr>
            <w:tcW w:w="2940" w:type="dxa"/>
            <w:tcBorders>
              <w:tl2br w:val="nil"/>
              <w:tr2bl w:val="nil"/>
            </w:tcBorders>
            <w:vAlign w:val="center"/>
          </w:tcPr>
          <w:p w14:paraId="47A0ED4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氟化物、林格曼黑度</w:t>
            </w:r>
          </w:p>
        </w:tc>
        <w:tc>
          <w:tcPr>
            <w:tcW w:w="1885" w:type="dxa"/>
            <w:tcBorders>
              <w:tl2br w:val="nil"/>
              <w:tr2bl w:val="nil"/>
            </w:tcBorders>
            <w:vAlign w:val="center"/>
          </w:tcPr>
          <w:p w14:paraId="11DDAAED">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半年/次</w:t>
            </w:r>
          </w:p>
        </w:tc>
        <w:tc>
          <w:tcPr>
            <w:tcW w:w="2172" w:type="dxa"/>
            <w:tcBorders>
              <w:tl2br w:val="nil"/>
              <w:tr2bl w:val="nil"/>
            </w:tcBorders>
            <w:vAlign w:val="center"/>
          </w:tcPr>
          <w:p w14:paraId="5499B39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0F6E79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688" w:type="dxa"/>
            <w:vMerge w:val="restart"/>
            <w:tcBorders>
              <w:tl2br w:val="nil"/>
              <w:tr2bl w:val="nil"/>
            </w:tcBorders>
            <w:vAlign w:val="center"/>
          </w:tcPr>
          <w:p w14:paraId="44524C3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排气筒DA005</w:t>
            </w:r>
          </w:p>
        </w:tc>
        <w:tc>
          <w:tcPr>
            <w:tcW w:w="2940" w:type="dxa"/>
            <w:tcBorders>
              <w:tl2br w:val="nil"/>
              <w:tr2bl w:val="nil"/>
            </w:tcBorders>
            <w:shd w:val="clear" w:color="auto" w:fill="auto"/>
            <w:vAlign w:val="center"/>
          </w:tcPr>
          <w:p w14:paraId="5DD3C67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kern w:val="2"/>
                <w:sz w:val="21"/>
                <w:szCs w:val="21"/>
                <w:highlight w:val="none"/>
                <w:vertAlign w:val="baseline"/>
                <w:lang w:val="en-US" w:eastAsia="zh-CN" w:bidi="ar-SA"/>
              </w:rPr>
            </w:pPr>
            <w:r>
              <w:rPr>
                <w:rFonts w:hint="eastAsia" w:ascii="Times New Roman" w:hAnsi="Times New Roman" w:cs="Times New Roman" w:eastAsiaTheme="minorEastAsia"/>
                <w:sz w:val="21"/>
                <w:szCs w:val="21"/>
                <w:highlight w:val="none"/>
                <w:vertAlign w:val="baseline"/>
                <w:lang w:val="en-US" w:eastAsia="zh-CN"/>
              </w:rPr>
              <w:t>颗粒物、氮氧化物</w:t>
            </w:r>
          </w:p>
        </w:tc>
        <w:tc>
          <w:tcPr>
            <w:tcW w:w="1885" w:type="dxa"/>
            <w:tcBorders>
              <w:tl2br w:val="nil"/>
              <w:tr2bl w:val="nil"/>
            </w:tcBorders>
            <w:shd w:val="clear" w:color="auto" w:fill="auto"/>
            <w:vAlign w:val="center"/>
          </w:tcPr>
          <w:p w14:paraId="278F5FF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kern w:val="2"/>
                <w:sz w:val="21"/>
                <w:szCs w:val="21"/>
                <w:highlight w:val="none"/>
                <w:vertAlign w:val="baseline"/>
                <w:lang w:val="en-US" w:eastAsia="zh-CN" w:bidi="ar-SA"/>
              </w:rPr>
            </w:pPr>
            <w:r>
              <w:rPr>
                <w:rFonts w:hint="eastAsia" w:ascii="Times New Roman" w:hAnsi="Times New Roman" w:cs="Times New Roman" w:eastAsiaTheme="minorEastAsia"/>
                <w:sz w:val="21"/>
                <w:szCs w:val="21"/>
                <w:highlight w:val="none"/>
                <w:vertAlign w:val="baseline"/>
                <w:lang w:val="en-US" w:eastAsia="zh-CN"/>
              </w:rPr>
              <w:t>季/次</w:t>
            </w:r>
          </w:p>
        </w:tc>
        <w:tc>
          <w:tcPr>
            <w:tcW w:w="2172" w:type="dxa"/>
            <w:tcBorders>
              <w:tl2br w:val="nil"/>
              <w:tr2bl w:val="nil"/>
            </w:tcBorders>
            <w:vAlign w:val="center"/>
          </w:tcPr>
          <w:p w14:paraId="2F66B8F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130B0C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88" w:type="dxa"/>
            <w:vMerge w:val="continue"/>
            <w:tcBorders>
              <w:tl2br w:val="nil"/>
              <w:tr2bl w:val="nil"/>
            </w:tcBorders>
            <w:vAlign w:val="center"/>
          </w:tcPr>
          <w:p w14:paraId="45BB7AD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p>
        </w:tc>
        <w:tc>
          <w:tcPr>
            <w:tcW w:w="2940" w:type="dxa"/>
            <w:tcBorders>
              <w:tl2br w:val="nil"/>
              <w:tr2bl w:val="nil"/>
            </w:tcBorders>
            <w:shd w:val="clear" w:color="auto" w:fill="auto"/>
            <w:vAlign w:val="center"/>
          </w:tcPr>
          <w:p w14:paraId="3D78680F">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氟化物、氯化物、林格曼黑度</w:t>
            </w:r>
          </w:p>
        </w:tc>
        <w:tc>
          <w:tcPr>
            <w:tcW w:w="1885" w:type="dxa"/>
            <w:tcBorders>
              <w:tl2br w:val="nil"/>
              <w:tr2bl w:val="nil"/>
            </w:tcBorders>
            <w:shd w:val="clear" w:color="auto" w:fill="auto"/>
            <w:vAlign w:val="center"/>
          </w:tcPr>
          <w:p w14:paraId="3314662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半年/次</w:t>
            </w:r>
          </w:p>
        </w:tc>
        <w:tc>
          <w:tcPr>
            <w:tcW w:w="2172" w:type="dxa"/>
            <w:tcBorders>
              <w:tl2br w:val="nil"/>
              <w:tr2bl w:val="nil"/>
            </w:tcBorders>
            <w:vAlign w:val="center"/>
          </w:tcPr>
          <w:p w14:paraId="0913A31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092627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88" w:type="dxa"/>
            <w:tcBorders>
              <w:tl2br w:val="nil"/>
              <w:tr2bl w:val="nil"/>
            </w:tcBorders>
            <w:vAlign w:val="center"/>
          </w:tcPr>
          <w:p w14:paraId="5B302CA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Style w:val="35"/>
                <w:rFonts w:hint="eastAsia" w:ascii="Times New Roman" w:hAnsi="Times New Roman" w:eastAsia="宋体" w:cs="Times New Roman"/>
                <w:sz w:val="21"/>
                <w:szCs w:val="21"/>
                <w:highlight w:val="none"/>
                <w:lang w:val="en-US" w:eastAsia="zh-CN"/>
              </w:rPr>
            </w:pPr>
            <w:r>
              <w:rPr>
                <w:rStyle w:val="35"/>
                <w:rFonts w:hint="eastAsia" w:ascii="Times New Roman" w:hAnsi="Times New Roman" w:cs="Times New Roman"/>
                <w:sz w:val="21"/>
                <w:szCs w:val="21"/>
                <w:highlight w:val="none"/>
                <w:lang w:val="en-US" w:eastAsia="zh-CN"/>
              </w:rPr>
              <w:t>厂界</w:t>
            </w:r>
          </w:p>
        </w:tc>
        <w:tc>
          <w:tcPr>
            <w:tcW w:w="2940" w:type="dxa"/>
            <w:tcBorders>
              <w:tl2br w:val="nil"/>
              <w:tr2bl w:val="nil"/>
            </w:tcBorders>
            <w:vAlign w:val="center"/>
          </w:tcPr>
          <w:p w14:paraId="2746CF0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总悬浮颗粒物</w:t>
            </w:r>
          </w:p>
        </w:tc>
        <w:tc>
          <w:tcPr>
            <w:tcW w:w="1885" w:type="dxa"/>
            <w:tcBorders>
              <w:tl2br w:val="nil"/>
              <w:tr2bl w:val="nil"/>
            </w:tcBorders>
            <w:vAlign w:val="center"/>
          </w:tcPr>
          <w:p w14:paraId="7FCFDFE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半年/次</w:t>
            </w:r>
          </w:p>
        </w:tc>
        <w:tc>
          <w:tcPr>
            <w:tcW w:w="2172" w:type="dxa"/>
            <w:tcBorders>
              <w:tl2br w:val="nil"/>
              <w:tr2bl w:val="nil"/>
            </w:tcBorders>
            <w:vAlign w:val="center"/>
          </w:tcPr>
          <w:p w14:paraId="2A00034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eastAsiaTheme="minorEastAsia"/>
                <w:sz w:val="21"/>
                <w:szCs w:val="21"/>
                <w:highlight w:val="none"/>
                <w:vertAlign w:val="baseline"/>
                <w:lang w:val="en-US" w:eastAsia="zh-CN"/>
              </w:rPr>
              <w:t>委托检测</w:t>
            </w:r>
          </w:p>
        </w:tc>
      </w:tr>
      <w:tr w14:paraId="4C7EC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1688" w:type="dxa"/>
            <w:tcBorders>
              <w:tl2br w:val="nil"/>
              <w:tr2bl w:val="nil"/>
            </w:tcBorders>
            <w:shd w:val="clear" w:color="auto" w:fill="auto"/>
            <w:vAlign w:val="center"/>
          </w:tcPr>
          <w:p w14:paraId="59D3DD6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kern w:val="2"/>
                <w:sz w:val="21"/>
                <w:szCs w:val="21"/>
                <w:highlight w:val="none"/>
                <w:lang w:val="en-US" w:eastAsia="zh-CN" w:bidi="ar-SA"/>
              </w:rPr>
            </w:pPr>
            <w:r>
              <w:rPr>
                <w:rStyle w:val="35"/>
                <w:rFonts w:hint="eastAsia" w:ascii="Times New Roman" w:hAnsi="Times New Roman" w:cs="Times New Roman"/>
                <w:sz w:val="21"/>
                <w:szCs w:val="21"/>
                <w:highlight w:val="none"/>
                <w:lang w:val="en-US" w:eastAsia="zh-CN"/>
              </w:rPr>
              <w:t>噪声</w:t>
            </w:r>
            <w:r>
              <w:rPr>
                <w:rStyle w:val="35"/>
                <w:rFonts w:hint="default" w:ascii="Times New Roman" w:hAnsi="Times New Roman" w:eastAsia="宋体" w:cs="Times New Roman"/>
                <w:sz w:val="21"/>
                <w:szCs w:val="21"/>
                <w:highlight w:val="none"/>
                <w:lang w:val="en-US" w:eastAsia="zh-CN"/>
              </w:rPr>
              <w:t>LeqdB</w:t>
            </w:r>
            <w:r>
              <w:rPr>
                <w:rStyle w:val="35"/>
                <w:rFonts w:hint="eastAsia" w:ascii="Times New Roman" w:hAnsi="Times New Roman" w:eastAsia="宋体" w:cs="Times New Roman"/>
                <w:sz w:val="21"/>
                <w:szCs w:val="21"/>
                <w:highlight w:val="none"/>
                <w:lang w:val="en-US" w:eastAsia="zh-CN"/>
              </w:rPr>
              <w:t>（</w:t>
            </w:r>
            <w:r>
              <w:rPr>
                <w:rStyle w:val="35"/>
                <w:rFonts w:hint="default" w:ascii="Times New Roman" w:hAnsi="Times New Roman" w:eastAsia="宋体" w:cs="Times New Roman"/>
                <w:sz w:val="21"/>
                <w:szCs w:val="21"/>
                <w:highlight w:val="none"/>
                <w:lang w:val="en-US" w:eastAsia="zh-CN"/>
              </w:rPr>
              <w:t>A</w:t>
            </w:r>
            <w:r>
              <w:rPr>
                <w:rStyle w:val="35"/>
                <w:rFonts w:hint="eastAsia" w:ascii="Times New Roman" w:hAnsi="Times New Roman" w:eastAsia="宋体" w:cs="Times New Roman"/>
                <w:sz w:val="21"/>
                <w:szCs w:val="21"/>
                <w:highlight w:val="none"/>
                <w:lang w:val="en-US" w:eastAsia="zh-CN"/>
              </w:rPr>
              <w:t>）</w:t>
            </w:r>
          </w:p>
        </w:tc>
        <w:tc>
          <w:tcPr>
            <w:tcW w:w="2940" w:type="dxa"/>
            <w:tcBorders>
              <w:tl2br w:val="nil"/>
              <w:tr2bl w:val="nil"/>
            </w:tcBorders>
            <w:shd w:val="clear" w:color="auto" w:fill="auto"/>
            <w:vAlign w:val="center"/>
          </w:tcPr>
          <w:p w14:paraId="0FE92ED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kern w:val="2"/>
                <w:sz w:val="21"/>
                <w:szCs w:val="21"/>
                <w:highlight w:val="none"/>
                <w:vertAlign w:val="baseline"/>
                <w:lang w:val="en-US" w:eastAsia="zh-CN" w:bidi="ar-SA"/>
              </w:rPr>
            </w:pPr>
            <w:r>
              <w:rPr>
                <w:rStyle w:val="35"/>
                <w:rFonts w:hint="default" w:ascii="Times New Roman" w:hAnsi="Times New Roman" w:eastAsia="宋体" w:cs="Times New Roman"/>
                <w:sz w:val="21"/>
                <w:szCs w:val="21"/>
                <w:highlight w:val="none"/>
                <w:lang w:val="en-US" w:eastAsia="zh-CN"/>
              </w:rPr>
              <w:t>昼</w:t>
            </w:r>
            <w:r>
              <w:rPr>
                <w:rStyle w:val="35"/>
                <w:rFonts w:hint="eastAsia" w:ascii="Times New Roman" w:hAnsi="Times New Roman" w:eastAsia="宋体" w:cs="Times New Roman"/>
                <w:sz w:val="21"/>
                <w:szCs w:val="21"/>
                <w:highlight w:val="none"/>
                <w:lang w:val="en-US" w:eastAsia="zh-CN"/>
              </w:rPr>
              <w:t>夜</w:t>
            </w:r>
            <w:r>
              <w:rPr>
                <w:rStyle w:val="35"/>
                <w:rFonts w:hint="eastAsia" w:ascii="Times New Roman" w:hAnsi="Times New Roman" w:cs="Times New Roman"/>
                <w:sz w:val="21"/>
                <w:szCs w:val="21"/>
                <w:highlight w:val="none"/>
                <w:lang w:val="en-US" w:eastAsia="zh-CN"/>
              </w:rPr>
              <w:t>间噪声</w:t>
            </w:r>
          </w:p>
        </w:tc>
        <w:tc>
          <w:tcPr>
            <w:tcW w:w="1885" w:type="dxa"/>
            <w:tcBorders>
              <w:tl2br w:val="nil"/>
              <w:tr2bl w:val="nil"/>
            </w:tcBorders>
            <w:shd w:val="clear" w:color="auto" w:fill="auto"/>
            <w:vAlign w:val="center"/>
          </w:tcPr>
          <w:p w14:paraId="377824A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kern w:val="2"/>
                <w:sz w:val="21"/>
                <w:szCs w:val="21"/>
                <w:highlight w:val="none"/>
                <w:vertAlign w:val="baseline"/>
                <w:lang w:val="en-US" w:eastAsia="zh-CN" w:bidi="ar-SA"/>
              </w:rPr>
            </w:pPr>
            <w:r>
              <w:rPr>
                <w:rFonts w:hint="eastAsia" w:ascii="Times New Roman" w:hAnsi="Times New Roman" w:cs="Times New Roman" w:eastAsiaTheme="minorEastAsia"/>
                <w:sz w:val="21"/>
                <w:szCs w:val="21"/>
                <w:highlight w:val="none"/>
                <w:vertAlign w:val="baseline"/>
                <w:lang w:val="en-US" w:eastAsia="zh-CN"/>
              </w:rPr>
              <w:t>1次/季</w:t>
            </w:r>
            <w:r>
              <w:rPr>
                <w:rStyle w:val="35"/>
                <w:rFonts w:hint="eastAsia" w:ascii="Times New Roman" w:hAnsi="Times New Roman" w:eastAsia="宋体" w:cs="Times New Roman"/>
                <w:sz w:val="21"/>
                <w:szCs w:val="21"/>
                <w:highlight w:val="none"/>
                <w:lang w:val="en-US" w:eastAsia="zh-CN"/>
              </w:rPr>
              <w:t>，</w:t>
            </w:r>
            <w:r>
              <w:rPr>
                <w:rStyle w:val="35"/>
                <w:rFonts w:hint="default" w:ascii="Times New Roman" w:hAnsi="Times New Roman" w:eastAsia="宋体" w:cs="Times New Roman"/>
                <w:sz w:val="21"/>
                <w:szCs w:val="21"/>
                <w:highlight w:val="none"/>
                <w:lang w:val="en-US" w:eastAsia="zh-CN"/>
              </w:rPr>
              <w:t>昼</w:t>
            </w:r>
            <w:r>
              <w:rPr>
                <w:rStyle w:val="35"/>
                <w:rFonts w:hint="eastAsia" w:ascii="Times New Roman" w:hAnsi="Times New Roman" w:eastAsia="宋体" w:cs="Times New Roman"/>
                <w:sz w:val="21"/>
                <w:szCs w:val="21"/>
                <w:highlight w:val="none"/>
                <w:lang w:val="en-US" w:eastAsia="zh-CN"/>
              </w:rPr>
              <w:t>夜</w:t>
            </w:r>
            <w:r>
              <w:rPr>
                <w:rStyle w:val="35"/>
                <w:rFonts w:hint="default" w:ascii="Times New Roman" w:hAnsi="Times New Roman" w:eastAsia="宋体" w:cs="Times New Roman"/>
                <w:sz w:val="21"/>
                <w:szCs w:val="21"/>
                <w:highlight w:val="none"/>
                <w:lang w:val="en-US" w:eastAsia="zh-CN"/>
              </w:rPr>
              <w:t>监测</w:t>
            </w:r>
          </w:p>
        </w:tc>
        <w:tc>
          <w:tcPr>
            <w:tcW w:w="2172" w:type="dxa"/>
            <w:tcBorders>
              <w:tl2br w:val="nil"/>
              <w:tr2bl w:val="nil"/>
            </w:tcBorders>
            <w:shd w:val="clear" w:color="auto" w:fill="auto"/>
            <w:vAlign w:val="center"/>
          </w:tcPr>
          <w:p w14:paraId="5236ED5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kern w:val="2"/>
                <w:sz w:val="21"/>
                <w:szCs w:val="21"/>
                <w:highlight w:val="none"/>
                <w:vertAlign w:val="baseline"/>
                <w:lang w:val="en-US" w:eastAsia="zh-CN" w:bidi="ar-SA"/>
              </w:rPr>
            </w:pPr>
            <w:r>
              <w:rPr>
                <w:rFonts w:hint="eastAsia" w:ascii="Times New Roman" w:hAnsi="Times New Roman" w:cs="Times New Roman" w:eastAsiaTheme="minorEastAsia"/>
                <w:sz w:val="21"/>
                <w:szCs w:val="21"/>
                <w:highlight w:val="none"/>
                <w:vertAlign w:val="baseline"/>
                <w:lang w:val="en-US" w:eastAsia="zh-CN"/>
              </w:rPr>
              <w:t>委托检测</w:t>
            </w:r>
          </w:p>
        </w:tc>
      </w:tr>
    </w:tbl>
    <w:p w14:paraId="56F28EFE">
      <w:pPr>
        <w:keepNext w:val="0"/>
        <w:keepLines w:val="0"/>
        <w:pageBreakBefore w:val="0"/>
        <w:kinsoku/>
        <w:wordWrap/>
        <w:overflowPunct/>
        <w:topLinePunct w:val="0"/>
        <w:bidi w:val="0"/>
        <w:spacing w:line="560" w:lineRule="exact"/>
        <w:ind w:firstLine="560"/>
        <w:textAlignment w:val="auto"/>
        <w:outlineLvl w:val="9"/>
        <w:rPr>
          <w:rFonts w:hint="default"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2.2</w:t>
      </w:r>
      <w:r>
        <w:rPr>
          <w:rFonts w:hint="eastAsia" w:ascii="Times New Roman" w:hAnsi="Times New Roman" w:cs="Times New Roman" w:eastAsiaTheme="minorEastAsia"/>
          <w:b/>
          <w:sz w:val="28"/>
          <w:szCs w:val="28"/>
          <w:lang w:val="en-US" w:eastAsia="zh-CN"/>
        </w:rPr>
        <w:t xml:space="preserve"> </w:t>
      </w:r>
      <w:r>
        <w:rPr>
          <w:rFonts w:hint="default" w:ascii="Times New Roman" w:hAnsi="Times New Roman" w:cs="Times New Roman" w:eastAsiaTheme="minorEastAsia"/>
          <w:b/>
          <w:sz w:val="28"/>
          <w:szCs w:val="28"/>
          <w:lang w:val="en-US" w:eastAsia="zh-CN"/>
        </w:rPr>
        <w:t>配套措施落实情况</w:t>
      </w:r>
      <w:r>
        <w:rPr>
          <w:rFonts w:hint="eastAsia" w:ascii="Times New Roman" w:hAnsi="Times New Roman" w:cs="Times New Roman" w:eastAsiaTheme="minorEastAsia"/>
          <w:b/>
          <w:sz w:val="28"/>
          <w:szCs w:val="28"/>
          <w:lang w:val="en-US" w:eastAsia="zh-CN"/>
        </w:rPr>
        <w:t xml:space="preserve"> </w:t>
      </w:r>
    </w:p>
    <w:p w14:paraId="3CA10BD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（1）区域削减及淘汰落后产能</w:t>
      </w:r>
    </w:p>
    <w:p w14:paraId="730FACA5">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本公司不涉及区域削减污染物总量措施，所有生产设备中没有需淘汰的落后产能设备。</w:t>
      </w:r>
    </w:p>
    <w:p w14:paraId="2E4E0A4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（2）防护距离控制及居民搬迁</w:t>
      </w:r>
    </w:p>
    <w:p w14:paraId="550367D8">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本项目卫生防护距离内无环境敏感点。</w:t>
      </w:r>
    </w:p>
    <w:p w14:paraId="0D24E142">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eastAsia" w:ascii="Times New Roman" w:hAnsi="Times New Roman" w:cs="Times New Roman" w:eastAsiaTheme="minorEastAsia"/>
          <w:b/>
          <w:sz w:val="28"/>
          <w:szCs w:val="28"/>
          <w:lang w:val="en-US" w:eastAsia="zh-CN"/>
        </w:rPr>
        <w:t xml:space="preserve">2.3 </w:t>
      </w:r>
      <w:r>
        <w:rPr>
          <w:rFonts w:hint="default" w:ascii="Times New Roman" w:hAnsi="Times New Roman" w:cs="Times New Roman" w:eastAsiaTheme="minorEastAsia"/>
          <w:b/>
          <w:sz w:val="28"/>
          <w:szCs w:val="28"/>
          <w:lang w:val="en-US" w:eastAsia="zh-CN"/>
        </w:rPr>
        <w:t>其他措施落实情况</w:t>
      </w:r>
      <w:r>
        <w:rPr>
          <w:rFonts w:hint="eastAsia" w:ascii="Times New Roman" w:hAnsi="Times New Roman" w:cs="Times New Roman" w:eastAsiaTheme="minorEastAsia"/>
          <w:b/>
          <w:sz w:val="28"/>
          <w:szCs w:val="28"/>
          <w:lang w:val="en-US" w:eastAsia="zh-CN"/>
        </w:rPr>
        <w:t xml:space="preserve"> </w:t>
      </w:r>
    </w:p>
    <w:p w14:paraId="1D5D700F">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本项目不涉及林地、珍稀动物保护、区域环境整治、相关外围工程建设情况等。</w:t>
      </w:r>
    </w:p>
    <w:p w14:paraId="3F02C6B0">
      <w:pPr>
        <w:keepNext w:val="0"/>
        <w:keepLines w:val="0"/>
        <w:pageBreakBefore w:val="0"/>
        <w:kinsoku/>
        <w:wordWrap/>
        <w:overflowPunct/>
        <w:topLinePunct w:val="0"/>
        <w:bidi w:val="0"/>
        <w:spacing w:line="560" w:lineRule="exact"/>
        <w:textAlignment w:val="auto"/>
        <w:outlineLvl w:val="9"/>
        <w:rPr>
          <w:rFonts w:hint="default"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3</w:t>
      </w:r>
      <w:r>
        <w:rPr>
          <w:rFonts w:hint="eastAsia" w:ascii="Times New Roman" w:hAnsi="Times New Roman" w:cs="Times New Roman" w:eastAsiaTheme="minorEastAsia"/>
          <w:b/>
          <w:sz w:val="28"/>
          <w:szCs w:val="28"/>
          <w:lang w:val="en-US" w:eastAsia="zh-CN"/>
        </w:rPr>
        <w:t xml:space="preserve"> </w:t>
      </w:r>
      <w:r>
        <w:rPr>
          <w:rFonts w:hint="default" w:ascii="Times New Roman" w:hAnsi="Times New Roman" w:cs="Times New Roman" w:eastAsiaTheme="minorEastAsia"/>
          <w:b/>
          <w:sz w:val="28"/>
          <w:szCs w:val="28"/>
          <w:lang w:val="en-US" w:eastAsia="zh-CN"/>
        </w:rPr>
        <w:t>整改工作情况</w:t>
      </w:r>
      <w:r>
        <w:rPr>
          <w:rFonts w:hint="eastAsia" w:ascii="Times New Roman" w:hAnsi="Times New Roman" w:cs="Times New Roman" w:eastAsiaTheme="minorEastAsia"/>
          <w:b/>
          <w:sz w:val="28"/>
          <w:szCs w:val="28"/>
          <w:lang w:val="en-US" w:eastAsia="zh-CN"/>
        </w:rPr>
        <w:t xml:space="preserve"> </w:t>
      </w:r>
    </w:p>
    <w:p w14:paraId="4A856C22">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项目</w:t>
      </w:r>
      <w:r>
        <w:rPr>
          <w:rFonts w:hint="default" w:ascii="Times New Roman" w:hAnsi="Times New Roman" w:cs="Times New Roman" w:eastAsiaTheme="minorEastAsia"/>
          <w:sz w:val="24"/>
          <w:szCs w:val="24"/>
          <w:lang w:val="en-US" w:eastAsia="zh-CN"/>
        </w:rPr>
        <w:t>验收现场检查会</w:t>
      </w:r>
      <w:r>
        <w:rPr>
          <w:rFonts w:hint="eastAsia" w:ascii="Times New Roman" w:hAnsi="Times New Roman" w:cs="Times New Roman" w:eastAsiaTheme="minorEastAsia"/>
          <w:sz w:val="24"/>
          <w:szCs w:val="24"/>
          <w:lang w:val="en-US" w:eastAsia="zh-CN"/>
        </w:rPr>
        <w:t>专家提出的整改意见及整改措施如下：</w:t>
      </w:r>
    </w:p>
    <w:p w14:paraId="015C3C95">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（1）车间地面上撒漏的粉状物料应及时清理，保持车间地面清洁，防止扬尘。</w:t>
      </w:r>
    </w:p>
    <w:p w14:paraId="2702383C">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u w:val="single"/>
          <w:lang w:val="en-US" w:eastAsia="zh-CN"/>
        </w:rPr>
      </w:pPr>
      <w:r>
        <w:rPr>
          <w:rFonts w:hint="eastAsia" w:ascii="Times New Roman" w:hAnsi="Times New Roman" w:cs="Times New Roman" w:eastAsiaTheme="minorEastAsia"/>
          <w:sz w:val="24"/>
          <w:szCs w:val="24"/>
          <w:u w:val="single"/>
          <w:lang w:val="en-US" w:eastAsia="zh-CN"/>
        </w:rPr>
        <w:t>整改/修改情况：已安排车间专门人员及时清理车间地面上撒漏的粉状物料，保持车间地面清洁，防止扬尘。</w:t>
      </w:r>
    </w:p>
    <w:p w14:paraId="2B194F6B">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val="en-US" w:eastAsia="zh-CN"/>
        </w:rPr>
        <w:t>定期检查废气收集设施的运行情况，确保废气有效收集和处理；</w:t>
      </w:r>
    </w:p>
    <w:p w14:paraId="5DCB07E0">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u w:val="single"/>
          <w:lang w:val="en-US" w:eastAsia="zh-CN"/>
        </w:rPr>
      </w:pPr>
      <w:r>
        <w:rPr>
          <w:rFonts w:hint="eastAsia" w:ascii="Times New Roman" w:hAnsi="Times New Roman" w:cs="Times New Roman" w:eastAsiaTheme="minorEastAsia"/>
          <w:sz w:val="24"/>
          <w:szCs w:val="24"/>
          <w:u w:val="single"/>
          <w:lang w:val="en-US" w:eastAsia="zh-CN"/>
        </w:rPr>
        <w:t>整改/修改情况：已安排车间专门人员</w:t>
      </w:r>
      <w:r>
        <w:rPr>
          <w:rFonts w:hint="default" w:ascii="Times New Roman" w:hAnsi="Times New Roman" w:cs="Times New Roman" w:eastAsiaTheme="minorEastAsia"/>
          <w:sz w:val="24"/>
          <w:szCs w:val="24"/>
          <w:u w:val="single"/>
          <w:lang w:val="en-US" w:eastAsia="zh-CN"/>
        </w:rPr>
        <w:t>定期检查废气收集设施的运行情况，确保废气有效收集和处理</w:t>
      </w:r>
      <w:r>
        <w:rPr>
          <w:rFonts w:hint="eastAsia" w:ascii="Times New Roman" w:hAnsi="Times New Roman" w:cs="Times New Roman" w:eastAsiaTheme="minorEastAsia"/>
          <w:sz w:val="24"/>
          <w:szCs w:val="24"/>
          <w:u w:val="single"/>
          <w:lang w:val="en-US" w:eastAsia="zh-CN"/>
        </w:rPr>
        <w:t>。</w:t>
      </w:r>
    </w:p>
    <w:p w14:paraId="081411AE">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（3）</w:t>
      </w:r>
      <w:r>
        <w:rPr>
          <w:rFonts w:hint="eastAsia" w:ascii="Times New Roman" w:hAnsi="Times New Roman" w:eastAsia="宋体" w:cs="Times New Roman"/>
          <w:color w:val="auto"/>
          <w:kern w:val="2"/>
          <w:sz w:val="24"/>
          <w:szCs w:val="24"/>
          <w:lang w:val="en-US" w:eastAsia="zh-CN" w:bidi="ar-SA"/>
        </w:rPr>
        <w:t>项目运营过程中，严格执行排污许可排放标准，危险废物严格按照《危险废物贮存污染控制标准》（GB 18597-2023）要求执行。</w:t>
      </w:r>
    </w:p>
    <w:p w14:paraId="3C7C4B2A">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u w:val="single"/>
          <w:lang w:val="en-US" w:eastAsia="zh-CN"/>
        </w:rPr>
      </w:pPr>
      <w:r>
        <w:rPr>
          <w:rFonts w:hint="eastAsia" w:ascii="Times New Roman" w:hAnsi="Times New Roman" w:cs="Times New Roman" w:eastAsiaTheme="minorEastAsia"/>
          <w:sz w:val="24"/>
          <w:szCs w:val="24"/>
          <w:u w:val="single"/>
          <w:lang w:val="en-US" w:eastAsia="zh-CN"/>
        </w:rPr>
        <w:t>项目运营过程中，严格执行排污许可排放标准，危险废物严格按照《危险废物贮存污染控制标准》（GB 18597-2023）要求执行。</w:t>
      </w:r>
    </w:p>
    <w:p w14:paraId="00B8C63D">
      <w:pPr>
        <w:rPr>
          <w:rFonts w:hint="default"/>
          <w:lang w:val="en-US" w:eastAsia="zh-CN"/>
        </w:rPr>
      </w:pPr>
    </w:p>
    <w:sectPr>
      <w:footerReference r:id="rId3" w:type="default"/>
      <w:pgSz w:w="11906" w:h="16838"/>
      <w:pgMar w:top="1474" w:right="1588" w:bottom="1134" w:left="158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86419"/>
    </w:sdtPr>
    <w:sdtContent>
      <w:p w14:paraId="54EA311A">
        <w:pPr>
          <w:pStyle w:val="12"/>
          <w:jc w:val="center"/>
        </w:pPr>
        <w:r>
          <w:fldChar w:fldCharType="begin"/>
        </w:r>
        <w:r>
          <w:instrText xml:space="preserve"> PAGE   \* MERGEFORMAT </w:instrText>
        </w:r>
        <w:r>
          <w:fldChar w:fldCharType="separate"/>
        </w:r>
        <w:r>
          <w:rPr>
            <w:lang w:val="zh-CN"/>
          </w:rPr>
          <w:t>5</w:t>
        </w:r>
        <w:r>
          <w:rPr>
            <w:lang w:val="zh-CN"/>
          </w:rPr>
          <w:fldChar w:fldCharType="end"/>
        </w:r>
      </w:p>
    </w:sdtContent>
  </w:sdt>
  <w:p w14:paraId="4A64FA6C">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mY2JkODAxZjFlOTg1MGE3OWM0OGFkMWI5NzMzYTMifQ=="/>
  </w:docVars>
  <w:rsids>
    <w:rsidRoot w:val="007563DD"/>
    <w:rsid w:val="000052C9"/>
    <w:rsid w:val="000106E6"/>
    <w:rsid w:val="00043789"/>
    <w:rsid w:val="0004757A"/>
    <w:rsid w:val="000477F8"/>
    <w:rsid w:val="00083D4A"/>
    <w:rsid w:val="000A1112"/>
    <w:rsid w:val="000B67DF"/>
    <w:rsid w:val="000C00F8"/>
    <w:rsid w:val="000C279C"/>
    <w:rsid w:val="000C6470"/>
    <w:rsid w:val="000C76C7"/>
    <w:rsid w:val="000D1197"/>
    <w:rsid w:val="000F01F7"/>
    <w:rsid w:val="00151DFD"/>
    <w:rsid w:val="001644BF"/>
    <w:rsid w:val="001D7DCB"/>
    <w:rsid w:val="001F5A71"/>
    <w:rsid w:val="002021AE"/>
    <w:rsid w:val="00206CB0"/>
    <w:rsid w:val="002216C8"/>
    <w:rsid w:val="002304F1"/>
    <w:rsid w:val="0024255B"/>
    <w:rsid w:val="002675C3"/>
    <w:rsid w:val="00286A3A"/>
    <w:rsid w:val="002A64CE"/>
    <w:rsid w:val="002C2EF4"/>
    <w:rsid w:val="002C407F"/>
    <w:rsid w:val="002C5F3D"/>
    <w:rsid w:val="002E5F6D"/>
    <w:rsid w:val="00314A36"/>
    <w:rsid w:val="0035210E"/>
    <w:rsid w:val="00363DC7"/>
    <w:rsid w:val="003919FD"/>
    <w:rsid w:val="00397431"/>
    <w:rsid w:val="003B51F4"/>
    <w:rsid w:val="003B6DCE"/>
    <w:rsid w:val="003D58FF"/>
    <w:rsid w:val="003E5690"/>
    <w:rsid w:val="0040371D"/>
    <w:rsid w:val="00404481"/>
    <w:rsid w:val="004117B4"/>
    <w:rsid w:val="00433313"/>
    <w:rsid w:val="00450B53"/>
    <w:rsid w:val="004511C2"/>
    <w:rsid w:val="00454351"/>
    <w:rsid w:val="0045648C"/>
    <w:rsid w:val="00476437"/>
    <w:rsid w:val="00485BAD"/>
    <w:rsid w:val="004967F1"/>
    <w:rsid w:val="004C155D"/>
    <w:rsid w:val="004C2E77"/>
    <w:rsid w:val="004E0959"/>
    <w:rsid w:val="004E1E17"/>
    <w:rsid w:val="004F029A"/>
    <w:rsid w:val="00502C84"/>
    <w:rsid w:val="00521BF3"/>
    <w:rsid w:val="005250DC"/>
    <w:rsid w:val="00526617"/>
    <w:rsid w:val="00577CE9"/>
    <w:rsid w:val="00594C14"/>
    <w:rsid w:val="00596719"/>
    <w:rsid w:val="005A1FF0"/>
    <w:rsid w:val="005A771B"/>
    <w:rsid w:val="005C7402"/>
    <w:rsid w:val="005D2C8D"/>
    <w:rsid w:val="005E1C3C"/>
    <w:rsid w:val="005F3201"/>
    <w:rsid w:val="005F3CFC"/>
    <w:rsid w:val="005F5587"/>
    <w:rsid w:val="00634898"/>
    <w:rsid w:val="0064502A"/>
    <w:rsid w:val="00651386"/>
    <w:rsid w:val="00694C29"/>
    <w:rsid w:val="00696E86"/>
    <w:rsid w:val="006C089D"/>
    <w:rsid w:val="006D64D5"/>
    <w:rsid w:val="006D7875"/>
    <w:rsid w:val="006E4EC4"/>
    <w:rsid w:val="006E631B"/>
    <w:rsid w:val="006F133D"/>
    <w:rsid w:val="00715686"/>
    <w:rsid w:val="00716074"/>
    <w:rsid w:val="0072363C"/>
    <w:rsid w:val="00734498"/>
    <w:rsid w:val="00751A23"/>
    <w:rsid w:val="007563DD"/>
    <w:rsid w:val="007609FC"/>
    <w:rsid w:val="00773C23"/>
    <w:rsid w:val="00783EE6"/>
    <w:rsid w:val="00784657"/>
    <w:rsid w:val="00794ED6"/>
    <w:rsid w:val="007A1B79"/>
    <w:rsid w:val="007A31F5"/>
    <w:rsid w:val="007B2FBB"/>
    <w:rsid w:val="007E5A0C"/>
    <w:rsid w:val="007F36A0"/>
    <w:rsid w:val="00807D40"/>
    <w:rsid w:val="00814AFF"/>
    <w:rsid w:val="00822B5E"/>
    <w:rsid w:val="0084234F"/>
    <w:rsid w:val="0087269B"/>
    <w:rsid w:val="008850A2"/>
    <w:rsid w:val="0088651C"/>
    <w:rsid w:val="00887367"/>
    <w:rsid w:val="008B0A73"/>
    <w:rsid w:val="008C3EBC"/>
    <w:rsid w:val="008F1DE0"/>
    <w:rsid w:val="009208B1"/>
    <w:rsid w:val="009220E5"/>
    <w:rsid w:val="00937114"/>
    <w:rsid w:val="00947CC2"/>
    <w:rsid w:val="00964A85"/>
    <w:rsid w:val="0097504E"/>
    <w:rsid w:val="009A394A"/>
    <w:rsid w:val="009C21D9"/>
    <w:rsid w:val="009D0A4A"/>
    <w:rsid w:val="009D3B0F"/>
    <w:rsid w:val="009F29CE"/>
    <w:rsid w:val="00A220F3"/>
    <w:rsid w:val="00A43C50"/>
    <w:rsid w:val="00A73CB3"/>
    <w:rsid w:val="00A91823"/>
    <w:rsid w:val="00AB6B23"/>
    <w:rsid w:val="00AC582F"/>
    <w:rsid w:val="00AD5BD0"/>
    <w:rsid w:val="00B15AF8"/>
    <w:rsid w:val="00B32E8E"/>
    <w:rsid w:val="00B426FC"/>
    <w:rsid w:val="00B61146"/>
    <w:rsid w:val="00B66EA6"/>
    <w:rsid w:val="00B958F6"/>
    <w:rsid w:val="00B9710F"/>
    <w:rsid w:val="00BC3E5E"/>
    <w:rsid w:val="00BD329F"/>
    <w:rsid w:val="00BF532D"/>
    <w:rsid w:val="00C608EB"/>
    <w:rsid w:val="00C660C3"/>
    <w:rsid w:val="00CA5D46"/>
    <w:rsid w:val="00CB4D44"/>
    <w:rsid w:val="00CD16BD"/>
    <w:rsid w:val="00CD5B52"/>
    <w:rsid w:val="00CD6607"/>
    <w:rsid w:val="00CF34E5"/>
    <w:rsid w:val="00CF7F6B"/>
    <w:rsid w:val="00D252DD"/>
    <w:rsid w:val="00D31AAB"/>
    <w:rsid w:val="00D37338"/>
    <w:rsid w:val="00D37BF1"/>
    <w:rsid w:val="00D71B86"/>
    <w:rsid w:val="00D85664"/>
    <w:rsid w:val="00DA0738"/>
    <w:rsid w:val="00DA7F86"/>
    <w:rsid w:val="00DB3083"/>
    <w:rsid w:val="00DB6651"/>
    <w:rsid w:val="00DC3157"/>
    <w:rsid w:val="00E56BB2"/>
    <w:rsid w:val="00E773B0"/>
    <w:rsid w:val="00E86AE3"/>
    <w:rsid w:val="00EB0A04"/>
    <w:rsid w:val="00EB635C"/>
    <w:rsid w:val="00EC63C9"/>
    <w:rsid w:val="00EE4377"/>
    <w:rsid w:val="00EE661E"/>
    <w:rsid w:val="00EF4573"/>
    <w:rsid w:val="00F02D9F"/>
    <w:rsid w:val="00F0485B"/>
    <w:rsid w:val="00F228D3"/>
    <w:rsid w:val="00F30EF1"/>
    <w:rsid w:val="00F31651"/>
    <w:rsid w:val="00F566A6"/>
    <w:rsid w:val="00F94677"/>
    <w:rsid w:val="00FC4643"/>
    <w:rsid w:val="00FD2A57"/>
    <w:rsid w:val="01F64B0B"/>
    <w:rsid w:val="04E44794"/>
    <w:rsid w:val="053F0C01"/>
    <w:rsid w:val="06D25F48"/>
    <w:rsid w:val="08981135"/>
    <w:rsid w:val="08AC6127"/>
    <w:rsid w:val="08D87384"/>
    <w:rsid w:val="0ADB5E7A"/>
    <w:rsid w:val="0B472137"/>
    <w:rsid w:val="0C8223EB"/>
    <w:rsid w:val="0D0001DD"/>
    <w:rsid w:val="0F1C1BCD"/>
    <w:rsid w:val="11625F1D"/>
    <w:rsid w:val="13393A51"/>
    <w:rsid w:val="137D2B9A"/>
    <w:rsid w:val="140B7F29"/>
    <w:rsid w:val="141B57BA"/>
    <w:rsid w:val="16154F53"/>
    <w:rsid w:val="16C15CF6"/>
    <w:rsid w:val="17B71A49"/>
    <w:rsid w:val="182F2017"/>
    <w:rsid w:val="19A12421"/>
    <w:rsid w:val="1A2A15A2"/>
    <w:rsid w:val="1AAE2376"/>
    <w:rsid w:val="1B1851B0"/>
    <w:rsid w:val="1C0D1583"/>
    <w:rsid w:val="1F7E33E3"/>
    <w:rsid w:val="20AD65B5"/>
    <w:rsid w:val="20C33720"/>
    <w:rsid w:val="20FF1092"/>
    <w:rsid w:val="218C6A2F"/>
    <w:rsid w:val="22B36145"/>
    <w:rsid w:val="24657C98"/>
    <w:rsid w:val="24681411"/>
    <w:rsid w:val="24C100AF"/>
    <w:rsid w:val="26F95E73"/>
    <w:rsid w:val="270B5883"/>
    <w:rsid w:val="288C09DE"/>
    <w:rsid w:val="2ABB7EB6"/>
    <w:rsid w:val="2B5F0F0E"/>
    <w:rsid w:val="2F1728B1"/>
    <w:rsid w:val="30674F5B"/>
    <w:rsid w:val="321E3342"/>
    <w:rsid w:val="332826CA"/>
    <w:rsid w:val="33BA52ED"/>
    <w:rsid w:val="352B1605"/>
    <w:rsid w:val="35475771"/>
    <w:rsid w:val="35BB246B"/>
    <w:rsid w:val="35F11C8A"/>
    <w:rsid w:val="39DE1D35"/>
    <w:rsid w:val="3BD50FCD"/>
    <w:rsid w:val="3BE856E3"/>
    <w:rsid w:val="3CE753A4"/>
    <w:rsid w:val="3F8C2233"/>
    <w:rsid w:val="422164D5"/>
    <w:rsid w:val="42A64878"/>
    <w:rsid w:val="446F2B9F"/>
    <w:rsid w:val="44756DC2"/>
    <w:rsid w:val="44CD1674"/>
    <w:rsid w:val="452C453B"/>
    <w:rsid w:val="452E566D"/>
    <w:rsid w:val="478466B3"/>
    <w:rsid w:val="4AEE5B50"/>
    <w:rsid w:val="4D5558B4"/>
    <w:rsid w:val="4E751289"/>
    <w:rsid w:val="4EF37070"/>
    <w:rsid w:val="502328A6"/>
    <w:rsid w:val="518A07B0"/>
    <w:rsid w:val="52B018E5"/>
    <w:rsid w:val="536E48F6"/>
    <w:rsid w:val="53DD36D8"/>
    <w:rsid w:val="54C11542"/>
    <w:rsid w:val="54E91C64"/>
    <w:rsid w:val="54EE0658"/>
    <w:rsid w:val="550429A6"/>
    <w:rsid w:val="562954F0"/>
    <w:rsid w:val="563D4E4E"/>
    <w:rsid w:val="59785D49"/>
    <w:rsid w:val="5A0C3D15"/>
    <w:rsid w:val="5C084E7C"/>
    <w:rsid w:val="5F9C768C"/>
    <w:rsid w:val="60A878DC"/>
    <w:rsid w:val="60B82B42"/>
    <w:rsid w:val="62536A85"/>
    <w:rsid w:val="62E954AA"/>
    <w:rsid w:val="63AE1EC8"/>
    <w:rsid w:val="641B4FF7"/>
    <w:rsid w:val="649460BF"/>
    <w:rsid w:val="64E04972"/>
    <w:rsid w:val="65053D6A"/>
    <w:rsid w:val="68D4001D"/>
    <w:rsid w:val="695305DA"/>
    <w:rsid w:val="69807E63"/>
    <w:rsid w:val="6A4662AD"/>
    <w:rsid w:val="6A7038C2"/>
    <w:rsid w:val="6AAE1741"/>
    <w:rsid w:val="6C9227DE"/>
    <w:rsid w:val="6F5F79E8"/>
    <w:rsid w:val="70904E30"/>
    <w:rsid w:val="71BE777B"/>
    <w:rsid w:val="75926377"/>
    <w:rsid w:val="762C4D1D"/>
    <w:rsid w:val="7696248B"/>
    <w:rsid w:val="76A35191"/>
    <w:rsid w:val="76DE59F5"/>
    <w:rsid w:val="78B611AB"/>
    <w:rsid w:val="79425628"/>
    <w:rsid w:val="7A7F09A7"/>
    <w:rsid w:val="7ACF34CF"/>
    <w:rsid w:val="7B910714"/>
    <w:rsid w:val="7C2D2E8E"/>
    <w:rsid w:val="7CC72557"/>
    <w:rsid w:val="7D422132"/>
    <w:rsid w:val="7EAB7F69"/>
    <w:rsid w:val="7ECC448D"/>
    <w:rsid w:val="7FF365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240" w:lineRule="auto"/>
      <w:outlineLvl w:val="0"/>
    </w:pPr>
    <w:rPr>
      <w:rFonts w:ascii="Times New Roman" w:hAnsi="Times New Roman" w:eastAsia="楷体"/>
      <w:b/>
      <w:bCs/>
      <w:kern w:val="44"/>
      <w:sz w:val="24"/>
      <w:szCs w:val="44"/>
    </w:rPr>
  </w:style>
  <w:style w:type="paragraph" w:styleId="5">
    <w:name w:val="heading 2"/>
    <w:basedOn w:val="1"/>
    <w:next w:val="1"/>
    <w:autoRedefine/>
    <w:qFormat/>
    <w:uiPriority w:val="0"/>
    <w:pPr>
      <w:keepNext/>
      <w:keepLines/>
      <w:widowControl w:val="0"/>
      <w:adjustRightInd/>
      <w:snapToGrid/>
      <w:spacing w:after="0" w:afterLines="0" w:line="360" w:lineRule="exact"/>
      <w:jc w:val="both"/>
      <w:outlineLvl w:val="1"/>
    </w:pPr>
    <w:rPr>
      <w:rFonts w:ascii="Times New Roman" w:hAnsi="Times New Roman" w:eastAsia="宋体" w:cs="Times New Roman"/>
      <w:bCs/>
      <w:kern w:val="2"/>
      <w:sz w:val="21"/>
      <w:szCs w:val="32"/>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basedOn w:val="3"/>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autoRedefine/>
    <w:qFormat/>
    <w:uiPriority w:val="0"/>
    <w:rPr>
      <w:rFonts w:ascii="宋体" w:hAnsi="Courier New"/>
    </w:rPr>
  </w:style>
  <w:style w:type="paragraph" w:styleId="6">
    <w:name w:val="annotation text"/>
    <w:basedOn w:val="1"/>
    <w:link w:val="30"/>
    <w:autoRedefine/>
    <w:qFormat/>
    <w:uiPriority w:val="0"/>
    <w:pPr>
      <w:jc w:val="left"/>
    </w:pPr>
    <w:rPr>
      <w:rFonts w:ascii="Times New Roman" w:hAnsi="Times New Roman"/>
      <w:szCs w:val="20"/>
    </w:rPr>
  </w:style>
  <w:style w:type="paragraph" w:styleId="7">
    <w:name w:val="Body Text"/>
    <w:basedOn w:val="1"/>
    <w:link w:val="28"/>
    <w:qFormat/>
    <w:uiPriority w:val="0"/>
    <w:pPr>
      <w:spacing w:after="120"/>
    </w:pPr>
    <w:rPr>
      <w:rFonts w:ascii="Times New Roman" w:hAnsi="Times New Roman"/>
      <w:szCs w:val="20"/>
    </w:rPr>
  </w:style>
  <w:style w:type="paragraph" w:styleId="8">
    <w:name w:val="Body Text Indent"/>
    <w:basedOn w:val="1"/>
    <w:next w:val="9"/>
    <w:autoRedefine/>
    <w:unhideWhenUsed/>
    <w:qFormat/>
    <w:uiPriority w:val="99"/>
    <w:pPr>
      <w:ind w:left="420" w:leftChars="200"/>
    </w:pPr>
  </w:style>
  <w:style w:type="paragraph" w:customStyle="1" w:styleId="9">
    <w:name w:val="样式 正文文本缩进 + 行距: 1.5 倍行距"/>
    <w:basedOn w:val="1"/>
    <w:autoRedefine/>
    <w:qFormat/>
    <w:uiPriority w:val="0"/>
    <w:pPr>
      <w:spacing w:after="120" w:line="360" w:lineRule="auto"/>
      <w:ind w:left="90" w:leftChars="32" w:firstLine="560" w:firstLineChars="200"/>
    </w:pPr>
    <w:rPr>
      <w:rFonts w:cs="宋体"/>
    </w:rPr>
  </w:style>
  <w:style w:type="paragraph" w:styleId="10">
    <w:name w:val="Plain Text"/>
    <w:basedOn w:val="1"/>
    <w:next w:val="8"/>
    <w:autoRedefine/>
    <w:qFormat/>
    <w:uiPriority w:val="0"/>
    <w:rPr>
      <w:rFonts w:ascii="宋体" w:hAnsi="Courier New" w:cs="Courier New"/>
      <w:szCs w:val="21"/>
    </w:rPr>
  </w:style>
  <w:style w:type="paragraph" w:styleId="11">
    <w:name w:val="Balloon Text"/>
    <w:basedOn w:val="1"/>
    <w:link w:val="24"/>
    <w:autoRedefine/>
    <w:semiHidden/>
    <w:unhideWhenUsed/>
    <w:qFormat/>
    <w:uiPriority w:val="99"/>
    <w:rPr>
      <w:sz w:val="18"/>
      <w:szCs w:val="18"/>
    </w:rPr>
  </w:style>
  <w:style w:type="paragraph" w:styleId="12">
    <w:name w:val="footer"/>
    <w:basedOn w:val="1"/>
    <w:link w:val="23"/>
    <w:autoRedefine/>
    <w:unhideWhenUsed/>
    <w:qFormat/>
    <w:uiPriority w:val="99"/>
    <w:pPr>
      <w:tabs>
        <w:tab w:val="center" w:pos="4153"/>
        <w:tab w:val="right" w:pos="8306"/>
      </w:tabs>
      <w:snapToGrid w:val="0"/>
      <w:jc w:val="left"/>
    </w:pPr>
    <w:rPr>
      <w:sz w:val="18"/>
      <w:szCs w:val="18"/>
    </w:rPr>
  </w:style>
  <w:style w:type="paragraph" w:styleId="13">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Body Text Indent 3"/>
    <w:basedOn w:val="1"/>
    <w:autoRedefine/>
    <w:qFormat/>
    <w:uiPriority w:val="0"/>
    <w:pPr>
      <w:spacing w:after="120"/>
      <w:ind w:left="420" w:leftChars="200"/>
    </w:pPr>
    <w:rPr>
      <w:sz w:val="16"/>
      <w:szCs w:val="16"/>
    </w:rPr>
  </w:style>
  <w:style w:type="paragraph" w:styleId="1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16">
    <w:name w:val="Body Text First Indent 2"/>
    <w:basedOn w:val="8"/>
    <w:next w:val="1"/>
    <w:autoRedefine/>
    <w:qFormat/>
    <w:uiPriority w:val="0"/>
    <w:pPr>
      <w:ind w:firstLine="42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annotation reference"/>
    <w:basedOn w:val="19"/>
    <w:autoRedefine/>
    <w:qFormat/>
    <w:uiPriority w:val="0"/>
    <w:rPr>
      <w:sz w:val="21"/>
      <w:szCs w:val="21"/>
    </w:rPr>
  </w:style>
  <w:style w:type="paragraph" w:customStyle="1" w:styleId="21">
    <w:name w:val="li_正文"/>
    <w:basedOn w:val="1"/>
    <w:autoRedefine/>
    <w:qFormat/>
    <w:uiPriority w:val="0"/>
    <w:pPr>
      <w:ind w:firstLine="200" w:firstLineChars="200"/>
      <w:jc w:val="left"/>
    </w:pPr>
    <w:rPr>
      <w:sz w:val="28"/>
      <w:szCs w:val="28"/>
    </w:rPr>
  </w:style>
  <w:style w:type="character" w:customStyle="1" w:styleId="22">
    <w:name w:val="页眉 Char"/>
    <w:basedOn w:val="19"/>
    <w:link w:val="13"/>
    <w:autoRedefine/>
    <w:qFormat/>
    <w:uiPriority w:val="99"/>
    <w:rPr>
      <w:sz w:val="18"/>
      <w:szCs w:val="18"/>
    </w:rPr>
  </w:style>
  <w:style w:type="character" w:customStyle="1" w:styleId="23">
    <w:name w:val="页脚 Char"/>
    <w:basedOn w:val="19"/>
    <w:link w:val="12"/>
    <w:autoRedefine/>
    <w:qFormat/>
    <w:uiPriority w:val="99"/>
    <w:rPr>
      <w:sz w:val="18"/>
      <w:szCs w:val="18"/>
    </w:rPr>
  </w:style>
  <w:style w:type="character" w:customStyle="1" w:styleId="24">
    <w:name w:val="批注框文本 Char"/>
    <w:basedOn w:val="19"/>
    <w:link w:val="11"/>
    <w:autoRedefine/>
    <w:semiHidden/>
    <w:qFormat/>
    <w:uiPriority w:val="99"/>
    <w:rPr>
      <w:rFonts w:ascii="Calibri" w:hAnsi="Calibri" w:eastAsia="宋体" w:cs="Times New Roman"/>
      <w:kern w:val="2"/>
      <w:sz w:val="18"/>
      <w:szCs w:val="18"/>
    </w:rPr>
  </w:style>
  <w:style w:type="paragraph" w:customStyle="1" w:styleId="25">
    <w:name w:val="CM24"/>
    <w:autoRedefine/>
    <w:qFormat/>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styleId="26">
    <w:name w:val="List Paragraph"/>
    <w:basedOn w:val="1"/>
    <w:autoRedefine/>
    <w:unhideWhenUsed/>
    <w:qFormat/>
    <w:uiPriority w:val="99"/>
    <w:pPr>
      <w:ind w:firstLine="420" w:firstLineChars="200"/>
    </w:pPr>
  </w:style>
  <w:style w:type="paragraph" w:customStyle="1" w:styleId="27">
    <w:name w:val="正1"/>
    <w:basedOn w:val="1"/>
    <w:link w:val="32"/>
    <w:autoRedefine/>
    <w:qFormat/>
    <w:uiPriority w:val="0"/>
    <w:pPr>
      <w:spacing w:line="360" w:lineRule="auto"/>
      <w:ind w:firstLine="200" w:firstLineChars="200"/>
      <w:jc w:val="left"/>
    </w:pPr>
    <w:rPr>
      <w:rFonts w:eastAsia="楷体_GB2312"/>
      <w:sz w:val="24"/>
    </w:rPr>
  </w:style>
  <w:style w:type="character" w:customStyle="1" w:styleId="28">
    <w:name w:val="正文文本 Char"/>
    <w:basedOn w:val="19"/>
    <w:link w:val="7"/>
    <w:autoRedefine/>
    <w:qFormat/>
    <w:uiPriority w:val="0"/>
    <w:rPr>
      <w:kern w:val="2"/>
      <w:sz w:val="21"/>
    </w:rPr>
  </w:style>
  <w:style w:type="paragraph" w:customStyle="1" w:styleId="29">
    <w:name w:val="Char Char Char Char Char Char Char Char Char Char"/>
    <w:basedOn w:val="1"/>
    <w:autoRedefine/>
    <w:qFormat/>
    <w:uiPriority w:val="0"/>
    <w:pPr>
      <w:spacing w:line="240" w:lineRule="exact"/>
      <w:ind w:firstLine="200" w:firstLineChars="200"/>
    </w:pPr>
    <w:rPr>
      <w:rFonts w:ascii="宋体" w:hAnsi="宋体" w:cs="宋体"/>
      <w:sz w:val="24"/>
    </w:rPr>
  </w:style>
  <w:style w:type="character" w:customStyle="1" w:styleId="30">
    <w:name w:val="批注文字 Char"/>
    <w:basedOn w:val="19"/>
    <w:link w:val="6"/>
    <w:autoRedefine/>
    <w:qFormat/>
    <w:uiPriority w:val="0"/>
    <w:rPr>
      <w:kern w:val="2"/>
      <w:sz w:val="21"/>
    </w:rPr>
  </w:style>
  <w:style w:type="paragraph" w:customStyle="1" w:styleId="31">
    <w:name w:val="ZW正文"/>
    <w:basedOn w:val="1"/>
    <w:autoRedefine/>
    <w:qFormat/>
    <w:uiPriority w:val="0"/>
    <w:pPr>
      <w:spacing w:line="500" w:lineRule="exact"/>
      <w:ind w:firstLine="480" w:firstLineChars="200"/>
    </w:pPr>
    <w:rPr>
      <w:rFonts w:ascii="Times New Roman" w:hAnsi="Times New Roman"/>
      <w:sz w:val="24"/>
      <w:szCs w:val="20"/>
    </w:rPr>
  </w:style>
  <w:style w:type="character" w:customStyle="1" w:styleId="32">
    <w:name w:val="正1 Char"/>
    <w:link w:val="27"/>
    <w:autoRedefine/>
    <w:qFormat/>
    <w:uiPriority w:val="0"/>
    <w:rPr>
      <w:rFonts w:ascii="Calibri" w:hAnsi="Calibri" w:eastAsia="楷体_GB2312"/>
      <w:kern w:val="2"/>
      <w:sz w:val="24"/>
      <w:szCs w:val="24"/>
    </w:rPr>
  </w:style>
  <w:style w:type="paragraph" w:customStyle="1" w:styleId="33">
    <w:name w:val="CM25"/>
    <w:autoRedefine/>
    <w:qFormat/>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34">
    <w:name w:val="列出段落1"/>
    <w:basedOn w:val="1"/>
    <w:autoRedefine/>
    <w:qFormat/>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character" w:customStyle="1" w:styleId="35">
    <w:name w:val="NormalCharacter"/>
    <w:autoRedefine/>
    <w:semiHidden/>
    <w:qFormat/>
    <w:uiPriority w:val="0"/>
  </w:style>
  <w:style w:type="paragraph" w:customStyle="1" w:styleId="36">
    <w:name w:val="Normal (Web)"/>
    <w:basedOn w:val="1"/>
    <w:autoRedefine/>
    <w:qFormat/>
    <w:uiPriority w:val="0"/>
    <w:pPr>
      <w:adjustRightInd/>
      <w:snapToGrid/>
      <w:spacing w:before="100" w:beforeLines="0" w:beforeAutospacing="1" w:after="100" w:afterLines="0" w:afterAutospacing="1"/>
    </w:pPr>
    <w:rPr>
      <w:rFonts w:ascii="宋体" w:hAnsi="宋体" w:eastAsia="宋体" w:cs="宋体"/>
      <w:sz w:val="24"/>
      <w:szCs w:val="24"/>
    </w:rPr>
  </w:style>
  <w:style w:type="paragraph" w:customStyle="1" w:styleId="37">
    <w:name w:val="样式1"/>
    <w:basedOn w:val="1"/>
    <w:autoRedefine/>
    <w:qFormat/>
    <w:uiPriority w:val="0"/>
    <w:pPr>
      <w:adjustRightInd/>
      <w:snapToGrid/>
      <w:spacing w:after="0" w:line="360" w:lineRule="auto"/>
      <w:jc w:val="center"/>
    </w:pPr>
    <w:rPr>
      <w:rFonts w:ascii="仿宋_GB2312" w:hAnsi="Times New Roman" w:eastAsia="黑体" w:cs="Times New Roman"/>
      <w:b/>
      <w:kern w:val="2"/>
      <w:sz w:val="32"/>
      <w:szCs w:val="20"/>
    </w:rPr>
  </w:style>
  <w:style w:type="paragraph" w:customStyle="1" w:styleId="38">
    <w:name w:val="Table Text"/>
    <w:basedOn w:val="1"/>
    <w:semiHidden/>
    <w:qFormat/>
    <w:uiPriority w:val="0"/>
    <w:rPr>
      <w:rFonts w:ascii="宋体" w:hAnsi="宋体" w:eastAsia="宋体" w:cs="宋体"/>
      <w:sz w:val="21"/>
      <w:szCs w:val="21"/>
      <w:lang w:val="en-US" w:eastAsia="en-US" w:bidi="ar-SA"/>
    </w:rPr>
  </w:style>
  <w:style w:type="table" w:customStyle="1" w:styleId="3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4163</Words>
  <Characters>4337</Characters>
  <Lines>18</Lines>
  <Paragraphs>5</Paragraphs>
  <TotalTime>3</TotalTime>
  <ScaleCrop>false</ScaleCrop>
  <LinksUpToDate>false</LinksUpToDate>
  <CharactersWithSpaces>4395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2017-11-21T09:30:00Z</dcterms:created>
  <dc:creator>Windows 用户</dc:creator>
  <cp:lastModifiedBy>WPS_1505978130</cp:lastModifiedBy>
  <cp:lastPrinted>2019-02-26T02:51:00Z</cp:lastPrinted>
  <dcterms:modified xsi:type="dcterms:W3CDTF">2025-06-09T06:56:59Z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1DE11E94A3D24EA6BFC2B96BE8BA15AF_13</vt:lpwstr>
  </property>
  <property fmtid="{D5CDD505-2E9C-101B-9397-08002B2CF9AE}" pid="4" name="KSOTemplateDocerSaveRecord">
    <vt:lpwstr>eyJoZGlkIjoiMTM4MDFiNzJhMWNmZTJlMzM5MmQ4M2Q2YzYyYWY3NTUiLCJ1c2VySWQiOiIzMDU0OTU4NzAifQ==</vt:lpwstr>
  </property>
</Properties>
</file>